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November 05,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Reliant Energy Services,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207-9562</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b/>
          <w:bCs/>
          <w:color w:val="000000"/>
        </w:rPr>
        <w:fldChar w:fldCharType="begin"/>
      </w:r>
      <w:r>
        <w:rPr>
          <w:b/>
          <w:bCs/>
          <w:rFonts w:cs="Times New Roman" w:ascii="Times New Roman" w:hAnsi="Times New Roman"/>
          <w:color w:val="000000"/>
        </w:rPr>
        <w:instrText xml:space="preserve"> MERGEFIELD DealNumber </w:instrText>
      </w:r>
      <w:r>
        <w:rPr>
          <w:b/>
          <w:bCs/>
          <w:rFonts w:cs="Times New Roman" w:ascii="Times New Roman" w:hAnsi="Times New Roman"/>
          <w:color w:val="000000"/>
        </w:rPr>
        <w:fldChar w:fldCharType="separate"/>
      </w:r>
      <w:r>
        <w:rPr>
          <w:b/>
          <w:bCs/>
          <w:rFonts w:cs="Times New Roman" w:ascii="Times New Roman" w:hAnsi="Times New Roman"/>
          <w:color w:val="000000"/>
        </w:rPr>
        <w:t>YH2567.1</w:t>
      </w:r>
      <w:r>
        <w:rPr>
          <w:b/>
          <w:bCs/>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October 15, 1993</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Reliant Energy Services,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November 05,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45,000 MMBtu multiplied by the number of days in the relevant Determination Period</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Natural Gas</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April 01,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October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April 01, 2003 and ending on October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$4.29000 per MMBtu</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settlement price for the last scheduled Trading Day of the NYMEX Henry Hub Natural Gas Futures Contract for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r>
        <w:trPr/>
        <w:tc>
          <w:tcPr>
            <w:tcW w:w="10152" w:type="dxa"/>
            <w:gridSpan w:val="2"/>
            <w:tcBorders/>
          </w:tcPr>
          <w:p>
            <w:pPr>
              <w:pStyle w:val="Normal"/>
              <w:rPr/>
            </w:pPr>
            <w:r>
              <w:rPr>
                <w:rFonts w:cs="Times New Roman" w:ascii="Times New Roman" w:hAnsi="Times New Roman"/>
              </w:rPr>
              <w:t xml:space="preserve">Each of the parties to this Agreement recognizes and acknowledges that the parties are acting and agreeing to perform their obligations hereunder in reliance upon (i) the timely execution and delivery by </w:t>
            </w:r>
            <w:r>
              <w:rPr>
                <w:rFonts w:cs="Times New Roman" w:ascii="Times New Roman" w:hAnsi="Times New Roman"/>
                <w:b/>
                <w:bCs/>
              </w:rPr>
              <w:t>Bank of Montreal</w:t>
            </w:r>
            <w:r>
              <w:rPr>
                <w:rFonts w:cs="Times New Roman" w:ascii="Times New Roman" w:hAnsi="Times New Roman"/>
              </w:rPr>
              <w:t xml:space="preserve"> (“Third Party”) and Party A of a transaction in substantially the form attached hereto as Exhibit A (“Third Party Transaction A”) and would not otherwise agree to execute, deliver and perform under this Agreement if Third Party and Party A were not contemporaneously executing and delivering Third Party Transaction A and (ii) the timely execution and delivery by Third Party and Party B of a transaction in substantially the form attached hereto as Exhibit B (“Third Party Transaction B”) and would not otherwise agree to execute, deliver and perform under this Agreement if Third Party and Party B were not contemporaneously executing and delivering Third Party Transaction B.  The effectiveness of this Agreement shall be subject to the condition that contemporaneously with the execution and delivery of this Agreement Party A and Third Party execute and deliver Third Party Transaction A and Party B and Third Party execute and deliver Third Party Transaction B. </w:t>
            </w:r>
          </w:p>
          <w:p>
            <w:pPr>
              <w:pStyle w:val="Normal"/>
              <w:ind w:firstLine="540" w:start="180" w:end="0"/>
              <w:jc w:val="both"/>
              <w:rPr>
                <w:rFonts w:ascii="Times New Roman" w:hAnsi="Times New Roman" w:cs="Times New Roman"/>
              </w:rPr>
            </w:pPr>
            <w:r>
              <w:rPr>
                <w:rFonts w:cs="Times New Roman" w:ascii="Times New Roman" w:hAnsi="Times New Roman"/>
              </w:rPr>
            </w:r>
          </w:p>
        </w:tc>
      </w:tr>
      <w:tr>
        <w:trPr/>
        <w:tc>
          <w:tcPr>
            <w:tcW w:w="10152" w:type="dxa"/>
            <w:gridSpan w:val="2"/>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«SignerName»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«SignerTitle»</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YH2567.1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Reliant Energy Services,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EXHIBIT A</w:t>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rFonts w:ascii="Times New Roman" w:hAnsi="Times New Roman" w:cs="Times New Roman"/>
              </w:rPr>
            </w:pPr>
            <w:r>
              <w:rPr>
                <w:rFonts w:cs="Times New Roman" w:ascii="Times New Roman" w:hAnsi="Times New Roman"/>
              </w:rPr>
              <w:drawing>
                <wp:inline distT="0" distB="0" distL="0" distR="0">
                  <wp:extent cx="1086485" cy="10788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rFonts w:ascii="Times New Roman" w:hAnsi="Times New Roman" w:cs="Times New Roman"/>
                <w:b/>
              </w:rPr>
            </w:pPr>
            <w:r>
              <w:rPr>
                <w:rFonts w:cs="Times New Roman" w:ascii="Times New Roman" w:hAnsi="Times New Roman"/>
                <w:b/>
              </w:rPr>
              <w:fldChar w:fldCharType="begin"/>
            </w:r>
            <w:r>
              <w:rPr>
                <w:b/>
                <w:rFonts w:cs="Times New Roman" w:ascii="Times New Roman" w:hAnsi="Times New Roman"/>
              </w:rPr>
              <w:instrText xml:space="preserve"> MERGEFIELD EnronEntityName </w:instrText>
            </w:r>
            <w:r>
              <w:rPr>
                <w:b/>
                <w:rFonts w:cs="Times New Roman" w:ascii="Times New Roman" w:hAnsi="Times New Roman"/>
              </w:rPr>
              <w:fldChar w:fldCharType="separate"/>
            </w:r>
            <w:r>
              <w:rPr>
                <w:b/>
                <w:rFonts w:cs="Times New Roman" w:ascii="Times New Roman" w:hAnsi="Times New Roman"/>
              </w:rPr>
              <w:t>Enron North America Corp.</w:t>
            </w:r>
            <w:r>
              <w:rPr>
                <w:b/>
                <w:rFonts w:cs="Times New Roman" w:ascii="Times New Roman" w:hAnsi="Times New Roman"/>
              </w:rPr>
              <w:fldChar w:fldCharType="end"/>
            </w:r>
          </w:p>
          <w:p>
            <w:pPr>
              <w:pStyle w:val="Normal"/>
              <w:tabs>
                <w:tab w:val="clear" w:pos="720"/>
                <w:tab w:val="left" w:pos="2412" w:leader="none"/>
              </w:tabs>
              <w:ind w:start="1962" w:end="0"/>
              <w:rPr>
                <w:rFonts w:ascii="Times New Roman" w:hAnsi="Times New Roman" w:cs="Times New Roman"/>
                <w:i/>
                <w:i/>
              </w:rPr>
            </w:pPr>
            <w:r>
              <w:rPr>
                <w:rFonts w:cs="Times New Roman" w:ascii="Times New Roman" w:hAnsi="Times New Roman"/>
                <w:i/>
              </w:rPr>
              <w:fldChar w:fldCharType="begin"/>
            </w:r>
            <w:r>
              <w:rPr>
                <w:i/>
                <w:rFonts w:cs="Times New Roman" w:ascii="Times New Roman" w:hAnsi="Times New Roman"/>
              </w:rPr>
              <w:instrText xml:space="preserve"> MERGEFIELD EnronLogoAddr1 </w:instrText>
            </w:r>
            <w:r>
              <w:rPr>
                <w:i/>
                <w:rFonts w:cs="Times New Roman" w:ascii="Times New Roman" w:hAnsi="Times New Roman"/>
              </w:rPr>
              <w:fldChar w:fldCharType="separate"/>
            </w:r>
            <w:r>
              <w:rPr>
                <w:i/>
                <w:rFonts w:cs="Times New Roman" w:ascii="Times New Roman" w:hAnsi="Times New Roman"/>
              </w:rPr>
              <w:t>P.O. Box 4428</w:t>
            </w:r>
            <w:r>
              <w:rPr>
                <w:i/>
                <w:rFonts w:cs="Times New Roman" w:ascii="Times New Roman" w:hAnsi="Times New Roman"/>
              </w:rPr>
              <w:fldChar w:fldCharType="end"/>
            </w:r>
          </w:p>
          <w:p>
            <w:pPr>
              <w:pStyle w:val="Normal"/>
              <w:tabs>
                <w:tab w:val="clear" w:pos="720"/>
                <w:tab w:val="left" w:pos="2412" w:leader="none"/>
              </w:tabs>
              <w:ind w:start="1962" w:end="0"/>
              <w:rPr>
                <w:rFonts w:ascii="Times New Roman" w:hAnsi="Times New Roman" w:cs="Times New Roman"/>
                <w:i/>
                <w:i/>
              </w:rPr>
            </w:pPr>
            <w:r>
              <w:rPr>
                <w:rFonts w:cs="Times New Roman" w:ascii="Times New Roman" w:hAnsi="Times New Roman"/>
                <w:i/>
              </w:rPr>
              <w:fldChar w:fldCharType="begin"/>
            </w:r>
            <w:r>
              <w:rPr>
                <w:i/>
                <w:rFonts w:cs="Times New Roman" w:ascii="Times New Roman" w:hAnsi="Times New Roman"/>
              </w:rPr>
              <w:instrText xml:space="preserve"> MERGEFIELD EnronLogoAddr2 </w:instrText>
            </w:r>
            <w:r>
              <w:rPr>
                <w:i/>
                <w:rFonts w:cs="Times New Roman" w:ascii="Times New Roman" w:hAnsi="Times New Roman"/>
              </w:rPr>
              <w:fldChar w:fldCharType="separate"/>
            </w:r>
            <w:r>
              <w:rPr>
                <w:i/>
                <w:rFonts w:cs="Times New Roman" w:ascii="Times New Roman" w:hAnsi="Times New Roman"/>
              </w:rPr>
              <w:t>Houston TX 77210-4428</w:t>
            </w:r>
            <w:r>
              <w:rPr>
                <w:i/>
                <w:rFonts w:cs="Times New Roman" w:ascii="Times New Roman" w:hAnsi="Times New Roman"/>
              </w:rPr>
              <w:fldChar w:fldCharType="end"/>
            </w:r>
          </w:p>
          <w:p>
            <w:pPr>
              <w:pStyle w:val="Normal"/>
              <w:tabs>
                <w:tab w:val="clear" w:pos="720"/>
                <w:tab w:val="left" w:pos="2412" w:leader="none"/>
              </w:tabs>
              <w:ind w:start="1962" w:end="0"/>
              <w:rPr>
                <w:rFonts w:ascii="Times New Roman" w:hAnsi="Times New Roman" w:cs="Times New Roman"/>
                <w:i/>
                <w:i/>
              </w:rPr>
            </w:pPr>
            <w:r>
              <w:rPr>
                <w:rFonts w:cs="Times New Roman" w:ascii="Times New Roman" w:hAnsi="Times New Roman"/>
                <w:i/>
              </w:rPr>
              <w:fldChar w:fldCharType="begin"/>
            </w:r>
            <w:r>
              <w:rPr>
                <w:i/>
                <w:rFonts w:cs="Times New Roman" w:ascii="Times New Roman" w:hAnsi="Times New Roman"/>
              </w:rPr>
              <w:instrText xml:space="preserve"> MERGEFIELD EnronLogoAddr3 </w:instrText>
            </w:r>
            <w:r>
              <w:rPr>
                <w:i/>
                <w:rFonts w:cs="Times New Roman" w:ascii="Times New Roman" w:hAnsi="Times New Roman"/>
              </w:rPr>
              <w:fldChar w:fldCharType="separate"/>
            </w:r>
            <w:r>
              <w:rPr>
                <w:i/>
                <w:rFonts w:cs="Times New Roman" w:ascii="Times New Roman" w:hAnsi="Times New Roman"/>
              </w:rPr>
              <w:t>(713) 853-3300</w:t>
            </w:r>
            <w:r>
              <w:rPr>
                <w:i/>
                <w:rFonts w:cs="Times New Roman" w:ascii="Times New Roman" w:hAnsi="Times New Roman"/>
              </w:rPr>
              <w:fldChar w:fldCharType="end"/>
            </w:r>
          </w:p>
          <w:p>
            <w:pPr>
              <w:pStyle w:val="Normal"/>
              <w:tabs>
                <w:tab w:val="clear" w:pos="720"/>
                <w:tab w:val="left" w:pos="2412" w:leader="none"/>
              </w:tabs>
              <w:ind w:start="1962" w:end="0"/>
              <w:rPr>
                <w:rFonts w:ascii="Times New Roman" w:hAnsi="Times New Roman" w:cs="Times New Roman"/>
                <w:i/>
                <w:i/>
              </w:rPr>
            </w:pPr>
            <w:r>
              <w:rPr>
                <w:rFonts w:cs="Times New Roman" w:ascii="Times New Roman" w:hAnsi="Times New Roman"/>
                <w:i/>
              </w:rPr>
              <w:fldChar w:fldCharType="begin"/>
            </w:r>
            <w:r>
              <w:rPr>
                <w:i/>
                <w:rFonts w:cs="Times New Roman" w:ascii="Times New Roman" w:hAnsi="Times New Roman"/>
              </w:rPr>
              <w:instrText xml:space="preserve"> MERGEFIELD EnronLogoTelephone </w:instrText>
            </w:r>
            <w:r>
              <w:rPr>
                <w:i/>
                <w:rFonts w:cs="Times New Roman" w:ascii="Times New Roman" w:hAnsi="Times New Roman"/>
              </w:rPr>
              <w:fldChar w:fldCharType="separate"/>
            </w:r>
            <w:r>
              <w:rPr>
                <w:i/>
                <w:rFonts w:cs="Times New Roman" w:ascii="Times New Roman" w:hAnsi="Times New Roman"/>
              </w:rPr>
              <w:t>Fax (713) 646-4816</w:t>
            </w:r>
            <w:r>
              <w:rPr>
                <w:i/>
                <w:rFonts w:cs="Times New Roman" w:ascii="Times New Roman" w:hAnsi="Times New Roman"/>
              </w:rPr>
              <w:fldChar w:fldCharType="end"/>
            </w:r>
          </w:p>
          <w:p>
            <w:pPr>
              <w:pStyle w:val="Normal"/>
              <w:tabs>
                <w:tab w:val="clear" w:pos="720"/>
                <w:tab w:val="left" w:pos="2412" w:leader="none"/>
              </w:tabs>
              <w:ind w:start="1962" w:end="0"/>
              <w:rPr>
                <w:rFonts w:ascii="Times New Roman" w:hAnsi="Times New Roman" w:cs="Times New Roman"/>
                <w:i/>
                <w:i/>
              </w:rPr>
            </w:pPr>
            <w:r>
              <w:rPr>
                <w:rFonts w:cs="Times New Roman" w:ascii="Times New Roman" w:hAnsi="Times New Roman"/>
                <w:i/>
              </w:rPr>
              <w:fldChar w:fldCharType="begin"/>
            </w:r>
            <w:r>
              <w:rPr>
                <w:i/>
                <w:rFonts w:cs="Times New Roman" w:ascii="Times New Roman" w:hAnsi="Times New Roman"/>
              </w:rPr>
              <w:instrText xml:space="preserve"> MERGEFIELD EnronLogoFax </w:instrText>
            </w:r>
            <w:r>
              <w:rPr>
                <w:i/>
                <w:rFonts w:cs="Times New Roman" w:ascii="Times New Roman" w:hAnsi="Times New Roman"/>
              </w:rPr>
              <w:fldChar w:fldCharType="separate"/>
            </w:r>
            <w:r>
              <w:rPr>
                <w:i/>
                <w:rFonts w:cs="Times New Roman" w:ascii="Times New Roman" w:hAnsi="Times New Roman"/>
              </w:rPr>
              <w:t xml:space="preserve"> </w:t>
            </w:r>
            <w:r>
              <w:rPr>
                <w:i/>
                <w:rFonts w:cs="Times New Roman" w:ascii="Times New Roman" w:hAnsi="Times New Roman"/>
              </w:rPr>
              <w:fldChar w:fldCharType="end"/>
            </w:r>
          </w:p>
        </w:tc>
      </w:tr>
    </w:tbl>
    <w:p>
      <w:pPr>
        <w:pStyle w:val="Normal"/>
        <w:jc w:val="center"/>
        <w:rPr>
          <w:rFonts w:ascii="Times New Roman" w:hAnsi="Times New Roman" w:cs="Times New Roman"/>
        </w:rPr>
      </w:pPr>
      <w:r>
        <w:rPr>
          <w:rFonts w:cs="Times New Roman" w:ascii="Times New Roman" w:hAnsi="Times New Roman"/>
        </w:rPr>
      </w:r>
    </w:p>
    <w:p>
      <w:pPr>
        <w:pStyle w:val="Normal"/>
        <w:tabs>
          <w:tab w:val="clear" w:pos="720"/>
          <w:tab w:val="left" w:pos="3870" w:leader="none"/>
        </w:tabs>
        <w:jc w:val="center"/>
        <w:rPr>
          <w:rFonts w:ascii="Times New Roman" w:hAnsi="Times New Roman" w:cs="Times New Roman"/>
          <w:b/>
        </w:rPr>
      </w:pPr>
      <w:r>
        <w:rPr>
          <w:rFonts w:cs="Times New Roman" w:ascii="Times New Roman" w:hAnsi="Times New Roman"/>
          <w:b/>
        </w:rPr>
        <w:t>CONFIRMATION</w:t>
      </w:r>
    </w:p>
    <w:p>
      <w:pPr>
        <w:pStyle w:val="Normal"/>
        <w:tabs>
          <w:tab w:val="clear" w:pos="720"/>
          <w:tab w:val="left" w:pos="3870" w:leader="none"/>
        </w:tabs>
        <w:jc w:val="center"/>
        <w:rPr>
          <w:rFonts w:ascii="Times New Roman" w:hAnsi="Times New Roman" w:cs="Times New Roman"/>
        </w:rPr>
      </w:pPr>
      <w:r>
        <w:rPr>
          <w:rFonts w:cs="Times New Roman" w:ascii="Times New Roman" w:hAnsi="Times New Roman"/>
          <w:b/>
        </w:rPr>
        <w:t>(SWAP)</w:t>
      </w:r>
    </w:p>
    <w:p>
      <w:pPr>
        <w:pStyle w:val="Normal"/>
        <w:tabs>
          <w:tab w:val="clear" w:pos="720"/>
          <w:tab w:val="left" w:pos="3870" w:leader="none"/>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Date:</w:t>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November 05, 2001</w:t>
      </w:r>
      <w:r>
        <w:rPr>
          <w:rFonts w:cs="Times New Roman" w:ascii="Times New Roman" w:hAnsi="Times New Roman"/>
        </w:rPr>
        <w:fldChar w:fldCharType="end"/>
      </w:r>
    </w:p>
    <w:p>
      <w:pPr>
        <w:pStyle w:val="Normal"/>
        <w:rPr/>
      </w:pPr>
      <w:r>
        <w:rPr>
          <w:rFonts w:cs="Times New Roman" w:ascii="Times New Roman" w:hAnsi="Times New Roman"/>
        </w:rPr>
        <w:t>To:</w:t>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Bank of Montreal</w:t>
      </w:r>
      <w:r>
        <w:rPr>
          <w:rFonts w:cs="Times New Roman" w:ascii="Times New Roman" w:hAnsi="Times New Roman"/>
        </w:rPr>
        <w:fldChar w:fldCharType="end"/>
      </w:r>
      <w:r>
        <w:rPr>
          <w:rFonts w:cs="Times New Roman" w:ascii="Times New Roman" w:hAnsi="Times New Roman"/>
        </w:rPr>
        <w:t xml:space="preserve"> ("Party B")</w:t>
      </w:r>
    </w:p>
    <w:p>
      <w:pPr>
        <w:pStyle w:val="Normal"/>
        <w:rPr>
          <w:rFonts w:ascii="Times New Roman" w:hAnsi="Times New Roman" w:cs="Times New Roman"/>
        </w:rPr>
      </w:pPr>
      <w:r>
        <w:rPr>
          <w:rFonts w:cs="Times New Roman" w:ascii="Times New Roman" w:hAnsi="Times New Roman"/>
        </w:rPr>
        <w:t>Attention:</w:t>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(416) 360-0853</w:t>
      </w:r>
      <w:r>
        <w:rPr>
          <w:rFonts w:cs="Times New Roman" w:ascii="Times New Roman" w:hAnsi="Times New Roman"/>
        </w:rPr>
        <w:fldChar w:fldCharType="end"/>
      </w:r>
    </w:p>
    <w:p>
      <w:pPr>
        <w:pStyle w:val="Normal"/>
        <w:rPr/>
      </w:pPr>
      <w:r>
        <w:rPr>
          <w:rFonts w:cs="Times New Roman" w:ascii="Times New Roman" w:hAnsi="Times New Roman"/>
        </w:rPr>
        <w:t>From:</w:t>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("Party A")</w:t>
      </w:r>
    </w:p>
    <w:p>
      <w:pPr>
        <w:pStyle w:val="Normal"/>
        <w:rPr>
          <w:rFonts w:ascii="Times New Roman" w:hAnsi="Times New Roman" w:cs="Times New Roman"/>
        </w:rPr>
      </w:pPr>
      <w:r>
        <w:rPr>
          <w:rFonts w:cs="Times New Roman" w:ascii="Times New Roman" w:hAnsi="Times New Roman"/>
        </w:rPr>
        <w:t>Re:</w:t>
        <w:tab/>
        <w:tab/>
        <w:t xml:space="preserve">Commodity Swap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YH2566.1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 xml:space="preserve">1.  This Confirmation supplements, forms part of, and is subject to, the ISDA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November 15, 1996</w:t>
      </w:r>
      <w:r>
        <w:rPr>
          <w:rFonts w:cs="Times New Roman" w:ascii="Times New Roman" w:hAnsi="Times New Roman"/>
        </w:rPr>
        <w:fldChar w:fldCharType="end"/>
      </w:r>
      <w:r>
        <w:rPr>
          <w:rFonts w:cs="Times New Roman" w:ascii="Times New Roman" w:hAnsi="Times New Roman"/>
        </w:rPr>
        <w:t>, as amended and supplemented from time to time (the "Agreement"), between you and us.  All provisions contained in the Agreement govern this Confirmation except as expressly modified below.</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2.  The terms of the particular Transaction to which this Confirmation relates are as follows: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General Terms:</w:t>
      </w:r>
    </w:p>
    <w:p>
      <w:pPr>
        <w:pStyle w:val="Normal"/>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Calculation Period:</w:t>
            </w:r>
          </w:p>
        </w:tc>
        <w:tc>
          <w:tcPr>
            <w:tcW w:w="6102" w:type="dxa"/>
            <w:tcBorders/>
          </w:tcPr>
          <w:p>
            <w:pPr>
              <w:pStyle w:val="Normal"/>
              <w:snapToGrid w:val="false"/>
              <w:rPr>
                <w:rFonts w:ascii="Times New Roman" w:hAnsi="Times New Roman" w:cs="Times New Roman"/>
              </w:rPr>
            </w:pPr>
            <w:r>
              <w:rPr>
                <w:rFonts w:cs="Times New Roman" w:ascii="Times New Roman" w:hAnsi="Times New Roman"/>
              </w:rPr>
            </w:r>
          </w:p>
          <w:p>
            <w:pPr>
              <w:pStyle w:val="Normal"/>
              <w:ind w:start="-18"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45,000 MMBtu multiplied by the number of days in the relevant Calculation Period</w:t>
            </w:r>
            <w:r>
              <w:rPr>
                <w:rFonts w:cs="Times New Roman" w:ascii="Times New Roman" w:hAnsi="Times New Roman"/>
              </w:rPr>
              <w:fldChar w:fldCharType="end"/>
            </w:r>
          </w:p>
        </w:tc>
      </w:tr>
      <w:tr>
        <w:trPr/>
        <w:tc>
          <w:tcPr>
            <w:tcW w:w="4338"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c>
          <w:tcPr>
            <w:tcW w:w="6102"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Commodity:</w:t>
            </w:r>
          </w:p>
        </w:tc>
        <w:tc>
          <w:tcPr>
            <w:tcW w:w="6102" w:type="dxa"/>
            <w:tcBorders/>
          </w:tcPr>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Natural Gas</w:t>
            </w:r>
            <w:r>
              <w:rPr>
                <w:rFonts w:cs="Times New Roman" w:ascii="Times New Roman" w:hAnsi="Times New Roman"/>
              </w:rPr>
              <w:fldChar w:fldCharType="end"/>
            </w:r>
          </w:p>
        </w:tc>
      </w:tr>
      <w:tr>
        <w:trPr/>
        <w:tc>
          <w:tcPr>
            <w:tcW w:w="4338"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c>
          <w:tcPr>
            <w:tcW w:w="6102"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Commodity Unit:</w:t>
            </w:r>
          </w:p>
        </w:tc>
        <w:tc>
          <w:tcPr>
            <w:tcW w:w="6102" w:type="dxa"/>
            <w:tcBorders/>
          </w:tcPr>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UnitOfMeasure </w:instrText>
            </w:r>
            <w:r>
              <w:rPr>
                <w:rFonts w:cs="Times New Roman" w:ascii="Times New Roman" w:hAnsi="Times New Roman"/>
              </w:rPr>
              <w:fldChar w:fldCharType="separate"/>
            </w:r>
            <w:r>
              <w:rPr>
                <w:rFonts w:cs="Times New Roman" w:ascii="Times New Roman" w:hAnsi="Times New Roman"/>
              </w:rPr>
              <w:t>MMBtu (One Million British Thermal Units)</w:t>
            </w:r>
            <w:r>
              <w:rPr>
                <w:rFonts w:cs="Times New Roman" w:ascii="Times New Roman" w:hAnsi="Times New Roman"/>
              </w:rPr>
              <w:fldChar w:fldCharType="end"/>
            </w:r>
          </w:p>
        </w:tc>
      </w:tr>
      <w:tr>
        <w:trPr/>
        <w:tc>
          <w:tcPr>
            <w:tcW w:w="4338"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c>
          <w:tcPr>
            <w:tcW w:w="6102"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Trade Date:</w:t>
            </w:r>
          </w:p>
        </w:tc>
        <w:tc>
          <w:tcPr>
            <w:tcW w:w="6102" w:type="dxa"/>
            <w:tcBorders/>
          </w:tcPr>
          <w:p>
            <w:pPr>
              <w:pStyle w:val="Normal"/>
              <w:ind w:hanging="18"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November 05, 2001</w:t>
            </w:r>
            <w:r>
              <w:rPr>
                <w:rFonts w:cs="Times New Roman" w:ascii="Times New Roman" w:hAnsi="Times New Roman"/>
              </w:rPr>
              <w:fldChar w:fldCharType="end"/>
            </w:r>
          </w:p>
        </w:tc>
      </w:tr>
      <w:tr>
        <w:trPr/>
        <w:tc>
          <w:tcPr>
            <w:tcW w:w="4338" w:type="dxa"/>
            <w:tcBorders/>
          </w:tcPr>
          <w:p>
            <w:pPr>
              <w:pStyle w:val="Normal"/>
              <w:snapToGrid w:val="false"/>
              <w:ind w:firstLine="720" w:end="0"/>
              <w:jc w:val="both"/>
              <w:rPr>
                <w:rFonts w:ascii="Times New Roman" w:hAnsi="Times New Roman" w:cs="Times New Roman"/>
              </w:rPr>
            </w:pPr>
            <w:r>
              <w:rPr>
                <w:rFonts w:cs="Times New Roman" w:ascii="Times New Roman" w:hAnsi="Times New Roman"/>
              </w:rPr>
            </w:r>
          </w:p>
        </w:tc>
        <w:tc>
          <w:tcPr>
            <w:tcW w:w="6102" w:type="dxa"/>
            <w:tcBorders/>
          </w:tcPr>
          <w:p>
            <w:pPr>
              <w:pStyle w:val="Normal"/>
              <w:snapToGrid w:val="false"/>
              <w:ind w:start="-18" w:end="0"/>
              <w:jc w:val="both"/>
              <w:rPr>
                <w:rFonts w:ascii="Times New Roman" w:hAnsi="Times New Roman" w:cs="Times New Roman"/>
              </w:rPr>
            </w:pPr>
            <w:r>
              <w:rPr>
                <w:rFonts w:cs="Times New Roman" w:ascii="Times New Roman" w:hAnsi="Times New Roman"/>
              </w:rPr>
            </w:r>
          </w:p>
        </w:tc>
      </w:tr>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Effective Date:</w:t>
            </w:r>
          </w:p>
        </w:tc>
        <w:tc>
          <w:tcPr>
            <w:tcW w:w="6102" w:type="dxa"/>
            <w:tcBorders/>
          </w:tcPr>
          <w:p>
            <w:pPr>
              <w:pStyle w:val="Normal"/>
              <w:ind w:start="-18"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April 01, 2003</w:t>
            </w:r>
            <w:r>
              <w:rPr>
                <w:rFonts w:cs="Times New Roman" w:ascii="Times New Roman" w:hAnsi="Times New Roman"/>
              </w:rPr>
              <w:fldChar w:fldCharType="end"/>
            </w:r>
          </w:p>
        </w:tc>
      </w:tr>
      <w:tr>
        <w:trPr/>
        <w:tc>
          <w:tcPr>
            <w:tcW w:w="4338" w:type="dxa"/>
            <w:tcBorders/>
          </w:tcPr>
          <w:p>
            <w:pPr>
              <w:pStyle w:val="Normal"/>
              <w:snapToGrid w:val="false"/>
              <w:ind w:firstLine="720" w:end="0"/>
              <w:jc w:val="both"/>
              <w:rPr>
                <w:rFonts w:ascii="Times New Roman" w:hAnsi="Times New Roman" w:cs="Times New Roman"/>
              </w:rPr>
            </w:pPr>
            <w:r>
              <w:rPr>
                <w:rFonts w:cs="Times New Roman" w:ascii="Times New Roman" w:hAnsi="Times New Roman"/>
              </w:rPr>
            </w:r>
          </w:p>
        </w:tc>
        <w:tc>
          <w:tcPr>
            <w:tcW w:w="6102" w:type="dxa"/>
            <w:tcBorders/>
          </w:tcPr>
          <w:p>
            <w:pPr>
              <w:pStyle w:val="Normal"/>
              <w:snapToGrid w:val="false"/>
              <w:ind w:start="-18" w:end="0"/>
              <w:jc w:val="both"/>
              <w:rPr>
                <w:rFonts w:ascii="Times New Roman" w:hAnsi="Times New Roman" w:cs="Times New Roman"/>
              </w:rPr>
            </w:pPr>
            <w:r>
              <w:rPr>
                <w:rFonts w:cs="Times New Roman" w:ascii="Times New Roman" w:hAnsi="Times New Roman"/>
              </w:rPr>
            </w:r>
          </w:p>
        </w:tc>
      </w:tr>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Termination Date:</w:t>
            </w:r>
          </w:p>
        </w:tc>
        <w:tc>
          <w:tcPr>
            <w:tcW w:w="6102" w:type="dxa"/>
            <w:tcBorders/>
          </w:tcPr>
          <w:p>
            <w:pPr>
              <w:pStyle w:val="Normal"/>
              <w:ind w:start="-18"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October 31, 2003</w:t>
            </w:r>
            <w:r>
              <w:rPr>
                <w:rFonts w:cs="Times New Roman" w:ascii="Times New Roman" w:hAnsi="Times New Roman"/>
              </w:rPr>
              <w:fldChar w:fldCharType="end"/>
            </w:r>
          </w:p>
        </w:tc>
      </w:tr>
      <w:tr>
        <w:trPr/>
        <w:tc>
          <w:tcPr>
            <w:tcW w:w="4338" w:type="dxa"/>
            <w:tcBorders/>
          </w:tcPr>
          <w:p>
            <w:pPr>
              <w:pStyle w:val="Normal"/>
              <w:snapToGrid w:val="false"/>
              <w:ind w:firstLine="720" w:end="0"/>
              <w:jc w:val="both"/>
              <w:rPr>
                <w:rFonts w:ascii="Times New Roman" w:hAnsi="Times New Roman" w:cs="Times New Roman"/>
              </w:rPr>
            </w:pPr>
            <w:r>
              <w:rPr>
                <w:rFonts w:cs="Times New Roman" w:ascii="Times New Roman" w:hAnsi="Times New Roman"/>
              </w:rPr>
            </w:r>
          </w:p>
        </w:tc>
        <w:tc>
          <w:tcPr>
            <w:tcW w:w="6102" w:type="dxa"/>
            <w:tcBorders/>
          </w:tcPr>
          <w:p>
            <w:pPr>
              <w:pStyle w:val="Normal"/>
              <w:snapToGrid w:val="false"/>
              <w:ind w:start="-18" w:end="0"/>
              <w:jc w:val="both"/>
              <w:rPr>
                <w:rFonts w:ascii="Times New Roman" w:hAnsi="Times New Roman" w:cs="Times New Roman"/>
              </w:rPr>
            </w:pPr>
            <w:r>
              <w:rPr>
                <w:rFonts w:cs="Times New Roman" w:ascii="Times New Roman" w:hAnsi="Times New Roman"/>
              </w:rPr>
            </w:r>
          </w:p>
        </w:tc>
      </w:tr>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Calculation Period(s):</w:t>
            </w:r>
          </w:p>
        </w:tc>
        <w:tc>
          <w:tcPr>
            <w:tcW w:w="6102" w:type="dxa"/>
            <w:tcBorders/>
          </w:tcPr>
          <w:p>
            <w:pPr>
              <w:pStyle w:val="Normal"/>
              <w:ind w:start="-18"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April 01, 2003 and ending on October 31, 2003.</w:t>
            </w:r>
            <w:r>
              <w:rPr>
                <w:rFonts w:cs="Times New Roman" w:ascii="Times New Roman" w:hAnsi="Times New Roman"/>
              </w:rPr>
              <w:fldChar w:fldCharType="end"/>
            </w: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MERGEFIELD HolidayExclusion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bl>
    <w:p>
      <w:pPr>
        <w:pStyle w:val="Normal"/>
        <w:ind w:firstLine="720" w:end="-270"/>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Payment Date(s):</w:t>
            </w:r>
          </w:p>
        </w:tc>
        <w:tc>
          <w:tcPr>
            <w:tcW w:w="6102" w:type="dxa"/>
            <w:tcBorders/>
          </w:tcPr>
          <w:p>
            <w:pPr>
              <w:pStyle w:val="Normal"/>
              <w:ind w:start="-18"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succeeding the last Pricing Date for the applicable Calculation Period</w:t>
            </w:r>
            <w:r>
              <w:rPr>
                <w:rFonts w:cs="Times New Roman" w:ascii="Times New Roman" w:hAnsi="Times New Roman"/>
              </w:rPr>
              <w:fldChar w:fldCharType="end"/>
            </w:r>
          </w:p>
        </w:tc>
      </w:tr>
    </w:tbl>
    <w:p>
      <w:pPr>
        <w:pStyle w:val="Normal"/>
        <w:ind w:end="-270"/>
        <w:jc w:val="center"/>
        <w:rPr/>
      </w:pPr>
      <w:r>
        <w:rPr/>
        <w:t>EXHIBIT A</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rFonts w:cs="Times New Roman" w:ascii="Times New Roman" w:hAnsi="Times New Roman"/>
                <w:b/>
              </w:rPr>
              <w:t>Fixed Amount Details:</w:t>
            </w:r>
            <w:r>
              <w:rPr>
                <w:rFonts w:cs="Times New Roman" w:ascii="Times New Roman" w:hAnsi="Times New Roman"/>
              </w:rPr>
              <w:tab/>
            </w:r>
          </w:p>
        </w:tc>
        <w:tc>
          <w:tcPr>
            <w:tcW w:w="6102"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4338" w:type="dxa"/>
            <w:tcBorders/>
          </w:tcPr>
          <w:p>
            <w:pPr>
              <w:pStyle w:val="Normal"/>
              <w:snapToGrid w:val="false"/>
              <w:rPr>
                <w:rFonts w:ascii="Times New Roman" w:hAnsi="Times New Roman" w:cs="Times New Roman"/>
              </w:rPr>
            </w:pPr>
            <w:r>
              <w:rPr>
                <w:rFonts w:cs="Times New Roman" w:ascii="Times New Roman" w:hAnsi="Times New Roman"/>
              </w:rPr>
            </w:r>
          </w:p>
        </w:tc>
        <w:tc>
          <w:tcPr>
            <w:tcW w:w="6102"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 Payer:</w:t>
            </w:r>
          </w:p>
        </w:tc>
        <w:tc>
          <w:tcPr>
            <w:tcW w:w="6102" w:type="dxa"/>
            <w:tcBorders/>
          </w:tcPr>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ISDABuyer </w:instrText>
            </w:r>
            <w:r>
              <w:rPr>
                <w:rFonts w:cs="Times New Roman" w:ascii="Times New Roman" w:hAnsi="Times New Roman"/>
              </w:rPr>
              <w:fldChar w:fldCharType="separate"/>
            </w:r>
            <w:r>
              <w:rPr>
                <w:rFonts w:cs="Times New Roman" w:ascii="Times New Roman" w:hAnsi="Times New Roman"/>
              </w:rPr>
              <w:t>Party B</w:t>
            </w:r>
            <w:r>
              <w:rPr>
                <w:rFonts w:cs="Times New Roman" w:ascii="Times New Roman" w:hAnsi="Times New Roman"/>
              </w:rPr>
              <w:fldChar w:fldCharType="end"/>
            </w:r>
          </w:p>
        </w:tc>
      </w:tr>
      <w:tr>
        <w:trPr/>
        <w:tc>
          <w:tcPr>
            <w:tcW w:w="4338" w:type="dxa"/>
            <w:tcBorders/>
          </w:tcPr>
          <w:p>
            <w:pPr>
              <w:pStyle w:val="Normal"/>
              <w:snapToGrid w:val="false"/>
              <w:rPr>
                <w:rFonts w:ascii="Times New Roman" w:hAnsi="Times New Roman" w:cs="Times New Roman"/>
              </w:rPr>
            </w:pPr>
            <w:r>
              <w:rPr>
                <w:rFonts w:cs="Times New Roman" w:ascii="Times New Roman" w:hAnsi="Times New Roman"/>
              </w:rPr>
            </w:r>
          </w:p>
        </w:tc>
        <w:tc>
          <w:tcPr>
            <w:tcW w:w="6102"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6102"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$4.29000 per MMBtu</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rFonts w:cs="Times New Roman" w:ascii="Times New Roman" w:hAnsi="Times New Roman"/>
                <w:b/>
              </w:rPr>
              <w:t>Floating Amount Details:</w:t>
            </w:r>
            <w:r>
              <w:rPr>
                <w:rFonts w:cs="Times New Roman" w:ascii="Times New Roman" w:hAnsi="Times New Roman"/>
              </w:rPr>
              <w:tab/>
            </w:r>
          </w:p>
        </w:tc>
        <w:tc>
          <w:tcPr>
            <w:tcW w:w="6102"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4338" w:type="dxa"/>
            <w:tcBorders/>
          </w:tcPr>
          <w:p>
            <w:pPr>
              <w:pStyle w:val="Normal"/>
              <w:snapToGrid w:val="false"/>
              <w:rPr>
                <w:rFonts w:ascii="Times New Roman" w:hAnsi="Times New Roman" w:cs="Times New Roman"/>
              </w:rPr>
            </w:pPr>
            <w:r>
              <w:rPr>
                <w:rFonts w:cs="Times New Roman" w:ascii="Times New Roman" w:hAnsi="Times New Roman"/>
              </w:rPr>
            </w:r>
          </w:p>
        </w:tc>
        <w:tc>
          <w:tcPr>
            <w:tcW w:w="6102"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24" w:hRule="atLeast"/>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 Payer:</w:t>
            </w:r>
          </w:p>
        </w:tc>
        <w:tc>
          <w:tcPr>
            <w:tcW w:w="6102" w:type="dxa"/>
            <w:tcBorders/>
          </w:tcPr>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ISDASeller </w:instrText>
            </w:r>
            <w:r>
              <w:rPr>
                <w:rFonts w:cs="Times New Roman" w:ascii="Times New Roman" w:hAnsi="Times New Roman"/>
              </w:rPr>
              <w:fldChar w:fldCharType="separate"/>
            </w:r>
            <w:r>
              <w:rPr>
                <w:rFonts w:cs="Times New Roman" w:ascii="Times New Roman" w:hAnsi="Times New Roman"/>
              </w:rPr>
              <w:t>Party A</w:t>
            </w:r>
            <w:r>
              <w:rPr>
                <w:rFonts w:cs="Times New Roman" w:ascii="Times New Roman" w:hAnsi="Times New Roman"/>
              </w:rPr>
              <w:fldChar w:fldCharType="end"/>
            </w:r>
          </w:p>
        </w:tc>
      </w:tr>
      <w:tr>
        <w:trPr/>
        <w:tc>
          <w:tcPr>
            <w:tcW w:w="4338" w:type="dxa"/>
            <w:tcBorders/>
          </w:tcPr>
          <w:p>
            <w:pPr>
              <w:pStyle w:val="Normal"/>
              <w:snapToGrid w:val="false"/>
              <w:rPr>
                <w:rFonts w:ascii="Times New Roman" w:hAnsi="Times New Roman" w:cs="Times New Roman"/>
              </w:rPr>
            </w:pPr>
            <w:r>
              <w:rPr>
                <w:rFonts w:cs="Times New Roman" w:ascii="Times New Roman" w:hAnsi="Times New Roman"/>
              </w:rPr>
            </w:r>
          </w:p>
        </w:tc>
        <w:tc>
          <w:tcPr>
            <w:tcW w:w="6102"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 and</w:t>
            </w:r>
          </w:p>
          <w:p>
            <w:pPr>
              <w:pStyle w:val="Normal"/>
              <w:ind w:firstLine="720" w:end="0"/>
              <w:rPr>
                <w:rFonts w:ascii="Times New Roman" w:hAnsi="Times New Roman" w:cs="Times New Roman"/>
              </w:rPr>
            </w:pPr>
            <w:r>
              <w:rPr>
                <w:rFonts w:cs="Times New Roman" w:ascii="Times New Roman" w:hAnsi="Times New Roman"/>
              </w:rPr>
              <w:t>Pricing Date(s):</w:t>
            </w:r>
          </w:p>
        </w:tc>
        <w:tc>
          <w:tcPr>
            <w:tcW w:w="6102"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settlement price for the last scheduled Trading Day of the NYMEX Henry Hub Natural Gas Futures Contract for the applicable Calculation Period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6102"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r>
        <w:trPr/>
        <w:tc>
          <w:tcPr>
            <w:tcW w:w="10440" w:type="dxa"/>
            <w:gridSpan w:val="2"/>
            <w:tcBorders/>
          </w:tcPr>
          <w:p>
            <w:pPr>
              <w:pStyle w:val="Normal"/>
              <w:ind w:firstLine="72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r>
      <w:r>
        <w:rPr>
          <w:rFonts w:cs="Times New Roman" w:ascii="Times New Roman" w:hAnsi="Times New Roman"/>
        </w:rPr>
        <w:fldChar w:fldCharType="begin"/>
      </w:r>
      <w:r>
        <w:rPr>
          <w:rFonts w:cs="Times New Roman" w:ascii="Times New Roman" w:hAnsi="Times New Roman"/>
        </w:rPr>
        <w:instrText xml:space="preserve"> MERGEFIELD CanadaSecurityLanguage </w:instrText>
      </w:r>
      <w:r>
        <w:rPr>
          <w:rFonts w:cs="Times New Roman" w:ascii="Times New Roman" w:hAnsi="Times New Roman"/>
        </w:rPr>
        <w:fldChar w:fldCharType="separate"/>
      </w:r>
      <w:r>
        <w:rPr>
          <w:rFonts w:cs="Times New Roman" w:ascii="Times New Roman" w:hAnsi="Times New Roman"/>
        </w:rPr>
        <w:t xml:space="preserve">Each party, with respect to itself, hereby represents and warrants to the other party, that (a) the transaction constitutes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Blanket Order BOR#91-502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w:t>
      </w:r>
      <w:r>
        <w:rPr>
          <w:rFonts w:cs="Times New Roman" w:ascii="Times New Roman" w:hAnsi="Times New Roman"/>
        </w:rPr>
        <w:fldChar w:fldCharType="end"/>
      </w:r>
    </w:p>
    <w:p>
      <w:pPr>
        <w:pStyle w:val="Normal"/>
        <w:ind w:firstLine="720" w:end="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r>
      <w:r>
        <w:rPr>
          <w:rFonts w:cs="Times New Roman" w:ascii="Times New Roman" w:hAnsi="Times New Roman"/>
          <w:color w:val="000000"/>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rFonts w:ascii="Times New Roman" w:hAnsi="Times New Roman" w:cs="Times New Roman"/>
              </w:rPr>
            </w:pPr>
            <w:r>
              <w:rPr>
                <w:rFonts w:cs="Times New Roman" w:ascii="Times New Roman" w:hAnsi="Times New Roman"/>
              </w:rPr>
              <w:t>Yours sincerely,</w:t>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keepLines/>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«SignerName»</w:t>
            </w:r>
            <w:r>
              <w:rPr>
                <w:rFonts w:cs="Times New Roman" w:ascii="Times New Roman" w:hAnsi="Times New Roman"/>
              </w:rPr>
              <w:fldChar w:fldCharType="end"/>
            </w:r>
          </w:p>
          <w:p>
            <w:pPr>
              <w:pStyle w:val="Normal"/>
              <w:keepLines/>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«SignerTitle»</w:t>
            </w:r>
            <w:r>
              <w:rPr>
                <w:rFonts w:cs="Times New Roman" w:ascii="Times New Roman" w:hAnsi="Times New Roman"/>
              </w:rPr>
              <w:fldChar w:fldCharType="end"/>
            </w:r>
          </w:p>
        </w:tc>
        <w:tc>
          <w:tcPr>
            <w:tcW w:w="5292" w:type="dxa"/>
            <w:tcBorders/>
          </w:tcPr>
          <w:p>
            <w:pPr>
              <w:pStyle w:val="Normal"/>
              <w:keepLines/>
              <w:snapToGrid w:val="false"/>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Bank of Montreal</w:t>
            </w:r>
            <w:r>
              <w:rPr>
                <w:rFonts w:cs="Times New Roman" w:ascii="Times New Roman" w:hAnsi="Times New Roman"/>
              </w:rPr>
              <w:fldChar w:fldCharType="end"/>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r>
          </w:p>
          <w:p>
            <w:pPr>
              <w:pStyle w:val="Normal"/>
              <w:keepLines/>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keepLines/>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keepLines/>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4"/>
      <w:footerReference w:type="default" r:id="rId5"/>
      <w:type w:val="nextPage"/>
      <w:pgSz w:w="12240" w:h="15840"/>
      <w:pgMar w:left="1152" w:right="1152"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2001-11-06T16:22:00Z</dcterms:created>
  <dc:creator>ECT</dc:creator>
  <dc:description/>
  <dc:language>en-CA</dc:language>
  <cp:lastModifiedBy>danders2</cp:lastModifiedBy>
  <dcterms:modified xsi:type="dcterms:W3CDTF">2001-11-06T16:22:00Z</dcterms:modified>
  <cp:revision>2</cp:revision>
  <dc:subject>Reliant Energy Services, Inc.</dc:subject>
  <dc:title>YH2567.1</dc:title>
</cp:coreProperties>
</file>