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November 05,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207-9562</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b/>
          <w:bCs/>
          <w:color w:val="000000"/>
        </w:rPr>
        <w:fldChar w:fldCharType="begin"/>
      </w:r>
      <w:r>
        <w:rPr>
          <w:b/>
          <w:bCs/>
          <w:rFonts w:cs="Times New Roman" w:ascii="Times New Roman" w:hAnsi="Times New Roman"/>
          <w:color w:val="000000"/>
        </w:rPr>
        <w:instrText xml:space="preserve"> MERGEFIELD DealNumber </w:instrText>
      </w:r>
      <w:r>
        <w:rPr>
          <w:b/>
          <w:bCs/>
          <w:rFonts w:cs="Times New Roman" w:ascii="Times New Roman" w:hAnsi="Times New Roman"/>
          <w:color w:val="000000"/>
        </w:rPr>
        <w:fldChar w:fldCharType="separate"/>
      </w:r>
      <w:r>
        <w:rPr>
          <w:b/>
          <w:bCs/>
          <w:rFonts w:cs="Times New Roman" w:ascii="Times New Roman" w:hAnsi="Times New Roman"/>
          <w:color w:val="000000"/>
        </w:rPr>
        <w:t>YH2564.1</w:t>
      </w:r>
      <w:r>
        <w:rPr>
          <w:b/>
          <w:bCs/>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October 15, 1993</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November 05,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165,000 MMBtu multiplied by the number of days in the relevant Determination Period</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January 01, 2002</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December 31, 2002</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January 01, 2002 and ending on December 31, 2002.</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$4.04000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settlement price for the last scheduled Trading Day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rPr/>
            </w:pPr>
            <w:r>
              <w:rPr>
                <w:rFonts w:cs="Times New Roman" w:ascii="Times New Roman" w:hAnsi="Times New Roman"/>
              </w:rPr>
              <w:t xml:space="preserve">Each of the parties to this Agreement recognizes and acknowledges that the parties are acting and agreeing to perform their obligations hereunder in reliance upon (i) the timely execution and delivery by </w:t>
            </w:r>
            <w:r>
              <w:rPr>
                <w:rFonts w:cs="Times New Roman" w:ascii="Times New Roman" w:hAnsi="Times New Roman"/>
                <w:b/>
                <w:bCs/>
              </w:rPr>
              <w:t>Bank of Montreal</w:t>
            </w:r>
            <w:r>
              <w:rPr>
                <w:rFonts w:cs="Times New Roman" w:ascii="Times New Roman" w:hAnsi="Times New Roman"/>
              </w:rPr>
              <w:t xml:space="preserve"> (“Third Party”) and Party A of a transaction in substantially the form attached hereto as Exhibit A (“Third Party Transaction A”) and would not otherwise agree to execute, deliver and perform under this Agreement if Third Party and Party A were not contemporaneously executing and delivering Third Party Transaction A and (ii) the timely execution and delivery by Third Party and Party B of a transaction in substantially the form attached hereto as Exhibit B (“Third Party Transaction B”) and would not otherwise agree to execute, deliver and perform under this Agreement if Third Party and Party B were not contemporaneously executing and delivering Third Party Transaction B.  The effectiveness of this Agreement shall be subject to the condition that contemporaneously with the execution and delivery of this Agreement Party A and Third Party execute and deliver Third Party Transaction A and Party B and Third Party execute and deliver Third Party Transaction B. </w:t>
            </w:r>
          </w:p>
          <w:p>
            <w:pPr>
              <w:pStyle w:val="Normal"/>
              <w:ind w:firstLine="540" w:start="180" w:end="0"/>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YH2564.1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Docum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t>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Normal"/>
        <w:tabs>
          <w:tab w:val="clear" w:pos="720"/>
          <w:tab w:val="left" w:pos="3870" w:leader="none"/>
        </w:tabs>
        <w:rPr/>
      </w:pPr>
      <w:r>
        <w:rPr/>
        <w:tab/>
        <w:tab/>
      </w:r>
      <w:r>
        <w:rPr>
          <w:b/>
        </w:rPr>
        <w:t>CONFIRMATION</w:t>
      </w:r>
    </w:p>
    <w:p>
      <w:pPr>
        <w:pStyle w:val="Normal"/>
        <w:tabs>
          <w:tab w:val="clear" w:pos="720"/>
          <w:tab w:val="left" w:pos="3870" w:leader="none"/>
        </w:tabs>
        <w:jc w:val="center"/>
        <w:rPr>
          <w:b/>
        </w:rPr>
      </w:pPr>
      <w:r>
        <w:rPr>
          <w:b/>
        </w:rPr>
        <w:t>(SWAP)</w:t>
      </w:r>
    </w:p>
    <w:p>
      <w:pPr>
        <w:pStyle w:val="Normal"/>
        <w:rPr/>
      </w:pPr>
      <w:r>
        <w:rPr/>
        <w:t>Date:</w:t>
        <w:tab/>
        <w:tab/>
      </w:r>
      <w:r>
        <w:rPr/>
        <w:fldChar w:fldCharType="begin"/>
      </w:r>
      <w:r>
        <w:rPr/>
        <w:instrText xml:space="preserve"> MERGEFIELD DealDate </w:instrText>
      </w:r>
      <w:r>
        <w:rPr/>
        <w:fldChar w:fldCharType="separate"/>
      </w:r>
      <w:r>
        <w:rPr/>
        <w:t>November 05, 2001</w:t>
      </w:r>
      <w:r>
        <w:rPr/>
        <w:fldChar w:fldCharType="end"/>
      </w:r>
    </w:p>
    <w:p>
      <w:pPr>
        <w:pStyle w:val="Normal"/>
        <w:rPr/>
      </w:pPr>
      <w:r>
        <w:rPr/>
        <w:t>To:</w:t>
        <w:tab/>
        <w:tab/>
      </w:r>
      <w:r>
        <w:rPr/>
        <w:fldChar w:fldCharType="begin"/>
      </w:r>
      <w:r>
        <w:rPr/>
        <w:instrText xml:space="preserve"> MERGEFIELD CounterpartyName </w:instrText>
      </w:r>
      <w:r>
        <w:rPr/>
        <w:fldChar w:fldCharType="separate"/>
      </w:r>
      <w:r>
        <w:rPr/>
        <w:t>Bank of Montreal</w:t>
      </w:r>
      <w:r>
        <w:rPr/>
        <w:fldChar w:fldCharType="end"/>
      </w:r>
      <w:r>
        <w:rPr/>
        <w:t xml:space="preserve"> ("Party B")</w:t>
      </w:r>
    </w:p>
    <w:p>
      <w:pPr>
        <w:pStyle w:val="Normal"/>
        <w:rPr/>
      </w:pPr>
      <w:r>
        <w:rPr/>
        <w:t>Attention:</w:t>
        <w:tab/>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Fax No.:</w:t>
        <w:tab/>
      </w:r>
      <w:r>
        <w:rPr/>
        <w:fldChar w:fldCharType="begin"/>
      </w:r>
      <w:r>
        <w:rPr/>
        <w:instrText xml:space="preserve"> MERGEFIELD CounterpartyFax </w:instrText>
      </w:r>
      <w:r>
        <w:rPr/>
        <w:fldChar w:fldCharType="separate"/>
      </w:r>
      <w:r>
        <w:rPr/>
        <w:t>(416) 360-0853</w:t>
      </w:r>
      <w:r>
        <w:rPr/>
        <w:fldChar w:fldCharType="end"/>
      </w:r>
    </w:p>
    <w:p>
      <w:pPr>
        <w:pStyle w:val="Normal"/>
        <w:rPr/>
      </w:pPr>
      <w:r>
        <w:rPr/>
        <w:t>From:</w:t>
        <w:tab/>
        <w:tab/>
      </w:r>
      <w:r>
        <w:rPr/>
        <w:fldChar w:fldCharType="begin"/>
      </w:r>
      <w:r>
        <w:rPr/>
        <w:instrText xml:space="preserve"> MERGEFIELD EnronEntityNameCode </w:instrText>
      </w:r>
      <w:r>
        <w:rPr/>
        <w:fldChar w:fldCharType="separate"/>
      </w:r>
      <w:r>
        <w:rPr/>
        <w:t>Enron North America Corp.</w:t>
      </w:r>
      <w:r>
        <w:rPr/>
        <w:fldChar w:fldCharType="end"/>
      </w:r>
      <w:r>
        <w:rPr/>
        <w:t xml:space="preserve"> ("Party A")</w:t>
      </w:r>
    </w:p>
    <w:p>
      <w:pPr>
        <w:pStyle w:val="Normal"/>
        <w:rPr/>
      </w:pPr>
      <w:r>
        <w:rPr/>
        <w:t>Re:</w:t>
        <w:tab/>
        <w:tab/>
        <w:t xml:space="preserve">Commodity Swap </w:t>
      </w:r>
      <w:r>
        <w:rPr/>
        <w:fldChar w:fldCharType="begin"/>
      </w:r>
      <w:r>
        <w:rPr/>
        <w:instrText xml:space="preserve"> MERGEFIELD DealNumber </w:instrText>
      </w:r>
      <w:r>
        <w:rPr/>
        <w:fldChar w:fldCharType="separate"/>
      </w:r>
      <w:r>
        <w:rPr/>
        <w:t>YH2563.1</w:t>
      </w:r>
      <w:r>
        <w:rPr/>
        <w:fldChar w:fldCharType="end"/>
      </w:r>
    </w:p>
    <w:p>
      <w:pPr>
        <w:pStyle w:val="Normal"/>
        <w:rPr/>
      </w:pPr>
      <w:r>
        <w:rPr/>
      </w:r>
    </w:p>
    <w:p>
      <w:pPr>
        <w:pStyle w:val="Normal"/>
        <w:jc w:val="both"/>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pPr>
      <w:r>
        <w:rPr/>
      </w:r>
    </w:p>
    <w:p>
      <w:pPr>
        <w:pStyle w:val="Normal"/>
        <w:jc w:val="both"/>
        <w:rPr/>
      </w:pPr>
      <w:r>
        <w:rPr/>
        <w:tab/>
        <w:t xml:space="preserve">1.  This Confirmation supplements, forms part of, and is subject to, the ISDA Master Agreement dated as of </w:t>
      </w:r>
      <w:r>
        <w:rPr/>
        <w:fldChar w:fldCharType="begin"/>
      </w:r>
      <w:r>
        <w:rPr/>
        <w:instrText xml:space="preserve"> MERGEFIELD FinancialMasterDate </w:instrText>
      </w:r>
      <w:r>
        <w:rPr/>
        <w:fldChar w:fldCharType="separate"/>
      </w:r>
      <w:r>
        <w:rPr/>
        <w:t>November 15, 1996</w:t>
      </w:r>
      <w:r>
        <w:rPr/>
        <w:fldChar w:fldCharType="end"/>
      </w:r>
      <w:r>
        <w:rPr/>
        <w:t>,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rPr/>
      </w:pPr>
      <w:r>
        <w:rPr/>
        <w:tab/>
        <w:t>2.  The terms of the particular Transaction to which this Confirmation relates are as follows:</w:t>
      </w:r>
    </w:p>
    <w:p>
      <w:pPr>
        <w:pStyle w:val="Normal"/>
        <w:rPr/>
      </w:pPr>
      <w:r>
        <w:rPr/>
      </w:r>
    </w:p>
    <w:p>
      <w:pPr>
        <w:pStyle w:val="Normal"/>
        <w:rPr>
          <w:b/>
        </w:rPr>
      </w:pPr>
      <w:r>
        <w:rPr>
          <w:b/>
        </w:rPr>
        <w:t>General Terms:</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pPr>
            <w:r>
              <w:rPr/>
              <w:t>Notional Quantity per</w:t>
            </w:r>
          </w:p>
          <w:p>
            <w:pPr>
              <w:pStyle w:val="Normal"/>
              <w:ind w:firstLine="720" w:end="0"/>
              <w:rPr/>
            </w:pPr>
            <w:r>
              <w:rPr/>
              <w:t>Calculation Period:</w:t>
            </w:r>
          </w:p>
        </w:tc>
        <w:tc>
          <w:tcPr>
            <w:tcW w:w="6102" w:type="dxa"/>
            <w:tcBorders/>
          </w:tcPr>
          <w:p>
            <w:pPr>
              <w:pStyle w:val="Normal"/>
              <w:snapToGrid w:val="false"/>
              <w:rPr/>
            </w:pPr>
            <w:r>
              <w:rPr/>
            </w:r>
          </w:p>
          <w:p>
            <w:pPr>
              <w:pStyle w:val="Normal"/>
              <w:ind w:start="-18" w:end="0"/>
              <w:rPr/>
            </w:pPr>
            <w:r>
              <w:rPr/>
              <w:fldChar w:fldCharType="begin"/>
            </w:r>
            <w:r>
              <w:rPr/>
              <w:instrText xml:space="preserve"> MERGEFIELD QtyPerPeriod </w:instrText>
            </w:r>
            <w:r>
              <w:rPr/>
              <w:fldChar w:fldCharType="separate"/>
            </w:r>
            <w:r>
              <w:rPr/>
              <w:t>165,000 MMBtu multiplied by the number of days in the relevant Calculation Period</w:t>
            </w:r>
            <w:r>
              <w:rPr/>
              <w:fldChar w:fldCharType="end"/>
            </w:r>
          </w:p>
        </w:tc>
      </w:tr>
      <w:tr>
        <w:trPr/>
        <w:tc>
          <w:tcPr>
            <w:tcW w:w="4338" w:type="dxa"/>
            <w:tcBorders/>
          </w:tcPr>
          <w:p>
            <w:pPr>
              <w:pStyle w:val="Normal"/>
              <w:snapToGrid w:val="false"/>
              <w:ind w:firstLine="720" w:end="0"/>
              <w:rPr/>
            </w:pPr>
            <w:r>
              <w:rPr/>
            </w:r>
          </w:p>
        </w:tc>
        <w:tc>
          <w:tcPr>
            <w:tcW w:w="6102" w:type="dxa"/>
            <w:tcBorders/>
          </w:tcPr>
          <w:p>
            <w:pPr>
              <w:pStyle w:val="Normal"/>
              <w:snapToGrid w:val="false"/>
              <w:ind w:firstLine="720" w:end="0"/>
              <w:rPr/>
            </w:pPr>
            <w:r>
              <w:rPr/>
            </w:r>
          </w:p>
        </w:tc>
      </w:tr>
      <w:tr>
        <w:trPr/>
        <w:tc>
          <w:tcPr>
            <w:tcW w:w="4338" w:type="dxa"/>
            <w:tcBorders/>
          </w:tcPr>
          <w:p>
            <w:pPr>
              <w:pStyle w:val="Normal"/>
              <w:ind w:firstLine="720" w:end="0"/>
              <w:rPr/>
            </w:pPr>
            <w:r>
              <w:rPr/>
              <w:t>Commodity:</w:t>
            </w:r>
          </w:p>
        </w:tc>
        <w:tc>
          <w:tcPr>
            <w:tcW w:w="6102" w:type="dxa"/>
            <w:tcBorders/>
          </w:tcPr>
          <w:p>
            <w:pPr>
              <w:pStyle w:val="Normal"/>
              <w:rPr/>
            </w:pPr>
            <w:r>
              <w:rPr/>
              <w:fldChar w:fldCharType="begin"/>
            </w:r>
            <w:r>
              <w:rPr/>
              <w:instrText xml:space="preserve"> MERGEFIELD CommodityName </w:instrText>
            </w:r>
            <w:r>
              <w:rPr/>
              <w:fldChar w:fldCharType="separate"/>
            </w:r>
            <w:r>
              <w:rPr/>
              <w:t>Natural Gas</w:t>
            </w:r>
            <w:r>
              <w:rPr/>
              <w:fldChar w:fldCharType="end"/>
            </w:r>
          </w:p>
        </w:tc>
      </w:tr>
      <w:tr>
        <w:trPr/>
        <w:tc>
          <w:tcPr>
            <w:tcW w:w="4338" w:type="dxa"/>
            <w:tcBorders/>
          </w:tcPr>
          <w:p>
            <w:pPr>
              <w:pStyle w:val="Normal"/>
              <w:snapToGrid w:val="false"/>
              <w:ind w:firstLine="720" w:end="0"/>
              <w:rPr/>
            </w:pPr>
            <w:r>
              <w:rPr/>
            </w:r>
          </w:p>
        </w:tc>
        <w:tc>
          <w:tcPr>
            <w:tcW w:w="6102" w:type="dxa"/>
            <w:tcBorders/>
          </w:tcPr>
          <w:p>
            <w:pPr>
              <w:pStyle w:val="Normal"/>
              <w:snapToGrid w:val="false"/>
              <w:ind w:firstLine="720" w:end="0"/>
              <w:rPr/>
            </w:pPr>
            <w:r>
              <w:rPr/>
            </w:r>
          </w:p>
        </w:tc>
      </w:tr>
      <w:tr>
        <w:trPr/>
        <w:tc>
          <w:tcPr>
            <w:tcW w:w="4338" w:type="dxa"/>
            <w:tcBorders/>
          </w:tcPr>
          <w:p>
            <w:pPr>
              <w:pStyle w:val="Normal"/>
              <w:ind w:firstLine="720" w:end="0"/>
              <w:rPr/>
            </w:pPr>
            <w:r>
              <w:rPr/>
              <w:t>Commodity Unit:</w:t>
            </w:r>
          </w:p>
        </w:tc>
        <w:tc>
          <w:tcPr>
            <w:tcW w:w="6102" w:type="dxa"/>
            <w:tcBorders/>
          </w:tcPr>
          <w:p>
            <w:pPr>
              <w:pStyle w:val="Normal"/>
              <w:rPr/>
            </w:pPr>
            <w:r>
              <w:rPr/>
              <w:fldChar w:fldCharType="begin"/>
            </w:r>
            <w:r>
              <w:rPr/>
              <w:instrText xml:space="preserve"> MERGEFIELD UnitOfMeasure </w:instrText>
            </w:r>
            <w:r>
              <w:rPr/>
              <w:fldChar w:fldCharType="separate"/>
            </w:r>
            <w:r>
              <w:rPr/>
              <w:t>MMBtu (One Million British Thermal Units)</w:t>
            </w:r>
            <w:r>
              <w:rPr/>
              <w:fldChar w:fldCharType="end"/>
            </w:r>
          </w:p>
        </w:tc>
      </w:tr>
      <w:tr>
        <w:trPr/>
        <w:tc>
          <w:tcPr>
            <w:tcW w:w="4338" w:type="dxa"/>
            <w:tcBorders/>
          </w:tcPr>
          <w:p>
            <w:pPr>
              <w:pStyle w:val="Normal"/>
              <w:snapToGrid w:val="false"/>
              <w:ind w:firstLine="720" w:end="0"/>
              <w:rPr/>
            </w:pPr>
            <w:r>
              <w:rPr/>
            </w:r>
          </w:p>
        </w:tc>
        <w:tc>
          <w:tcPr>
            <w:tcW w:w="6102" w:type="dxa"/>
            <w:tcBorders/>
          </w:tcPr>
          <w:p>
            <w:pPr>
              <w:pStyle w:val="Normal"/>
              <w:snapToGrid w:val="false"/>
              <w:ind w:firstLine="720" w:end="0"/>
              <w:rPr/>
            </w:pPr>
            <w:r>
              <w:rPr/>
            </w:r>
          </w:p>
        </w:tc>
      </w:tr>
      <w:tr>
        <w:trPr/>
        <w:tc>
          <w:tcPr>
            <w:tcW w:w="4338" w:type="dxa"/>
            <w:tcBorders/>
          </w:tcPr>
          <w:p>
            <w:pPr>
              <w:pStyle w:val="Normal"/>
              <w:ind w:firstLine="720" w:end="0"/>
              <w:rPr/>
            </w:pPr>
            <w:r>
              <w:rPr/>
              <w:t>Trade Date:</w:t>
            </w:r>
          </w:p>
        </w:tc>
        <w:tc>
          <w:tcPr>
            <w:tcW w:w="6102" w:type="dxa"/>
            <w:tcBorders/>
          </w:tcPr>
          <w:p>
            <w:pPr>
              <w:pStyle w:val="Normal"/>
              <w:ind w:hanging="18" w:end="0"/>
              <w:rPr/>
            </w:pPr>
            <w:r>
              <w:rPr/>
              <w:fldChar w:fldCharType="begin"/>
            </w:r>
            <w:r>
              <w:rPr/>
              <w:instrText xml:space="preserve"> MERGEFIELD DealDate </w:instrText>
            </w:r>
            <w:r>
              <w:rPr/>
              <w:fldChar w:fldCharType="separate"/>
            </w:r>
            <w:r>
              <w:rPr/>
              <w:t>November 05, 2001</w:t>
            </w:r>
            <w:r>
              <w:rPr/>
              <w:fldChar w:fldCharType="end"/>
            </w:r>
          </w:p>
        </w:tc>
      </w:tr>
      <w:tr>
        <w:trPr/>
        <w:tc>
          <w:tcPr>
            <w:tcW w:w="4338" w:type="dxa"/>
            <w:tcBorders/>
          </w:tcPr>
          <w:p>
            <w:pPr>
              <w:pStyle w:val="Normal"/>
              <w:snapToGrid w:val="false"/>
              <w:ind w:firstLine="720" w:end="0"/>
              <w:jc w:val="both"/>
              <w:rPr/>
            </w:pPr>
            <w:r>
              <w:rPr/>
            </w:r>
          </w:p>
        </w:tc>
        <w:tc>
          <w:tcPr>
            <w:tcW w:w="6102"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Effective Date:</w:t>
            </w:r>
          </w:p>
        </w:tc>
        <w:tc>
          <w:tcPr>
            <w:tcW w:w="6102" w:type="dxa"/>
            <w:tcBorders/>
          </w:tcPr>
          <w:p>
            <w:pPr>
              <w:pStyle w:val="Normal"/>
              <w:ind w:start="-18" w:end="0"/>
              <w:jc w:val="both"/>
              <w:rPr/>
            </w:pPr>
            <w:r>
              <w:rPr/>
              <w:fldChar w:fldCharType="begin"/>
            </w:r>
            <w:r>
              <w:rPr/>
              <w:instrText xml:space="preserve"> MERGEFIELD TransStartDate </w:instrText>
            </w:r>
            <w:r>
              <w:rPr/>
              <w:fldChar w:fldCharType="separate"/>
            </w:r>
            <w:r>
              <w:rPr/>
              <w:t>January 01, 2002</w:t>
            </w:r>
            <w:r>
              <w:rPr/>
              <w:fldChar w:fldCharType="end"/>
            </w:r>
          </w:p>
        </w:tc>
      </w:tr>
      <w:tr>
        <w:trPr/>
        <w:tc>
          <w:tcPr>
            <w:tcW w:w="4338" w:type="dxa"/>
            <w:tcBorders/>
          </w:tcPr>
          <w:p>
            <w:pPr>
              <w:pStyle w:val="Normal"/>
              <w:snapToGrid w:val="false"/>
              <w:ind w:firstLine="720" w:end="0"/>
              <w:jc w:val="both"/>
              <w:rPr/>
            </w:pPr>
            <w:r>
              <w:rPr/>
            </w:r>
          </w:p>
        </w:tc>
        <w:tc>
          <w:tcPr>
            <w:tcW w:w="6102"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Termination Date:</w:t>
            </w:r>
          </w:p>
        </w:tc>
        <w:tc>
          <w:tcPr>
            <w:tcW w:w="6102" w:type="dxa"/>
            <w:tcBorders/>
          </w:tcPr>
          <w:p>
            <w:pPr>
              <w:pStyle w:val="Normal"/>
              <w:ind w:start="-18" w:end="0"/>
              <w:jc w:val="both"/>
              <w:rPr/>
            </w:pPr>
            <w:r>
              <w:rPr/>
              <w:fldChar w:fldCharType="begin"/>
            </w:r>
            <w:r>
              <w:rPr/>
              <w:instrText xml:space="preserve"> MERGEFIELD TransStopDate </w:instrText>
            </w:r>
            <w:r>
              <w:rPr/>
              <w:fldChar w:fldCharType="separate"/>
            </w:r>
            <w:r>
              <w:rPr/>
              <w:t>December 31, 2002</w:t>
            </w:r>
            <w:r>
              <w:rPr/>
              <w:fldChar w:fldCharType="end"/>
            </w:r>
          </w:p>
        </w:tc>
      </w:tr>
      <w:tr>
        <w:trPr/>
        <w:tc>
          <w:tcPr>
            <w:tcW w:w="4338" w:type="dxa"/>
            <w:tcBorders/>
          </w:tcPr>
          <w:p>
            <w:pPr>
              <w:pStyle w:val="Normal"/>
              <w:snapToGrid w:val="false"/>
              <w:ind w:firstLine="720" w:end="0"/>
              <w:jc w:val="both"/>
              <w:rPr/>
            </w:pPr>
            <w:r>
              <w:rPr/>
            </w:r>
          </w:p>
        </w:tc>
        <w:tc>
          <w:tcPr>
            <w:tcW w:w="6102" w:type="dxa"/>
            <w:tcBorders/>
          </w:tcPr>
          <w:p>
            <w:pPr>
              <w:pStyle w:val="Normal"/>
              <w:snapToGrid w:val="false"/>
              <w:ind w:start="-18" w:end="0"/>
              <w:jc w:val="both"/>
              <w:rPr/>
            </w:pPr>
            <w:r>
              <w:rPr/>
            </w:r>
          </w:p>
        </w:tc>
      </w:tr>
      <w:tr>
        <w:trPr/>
        <w:tc>
          <w:tcPr>
            <w:tcW w:w="4338" w:type="dxa"/>
            <w:tcBorders/>
          </w:tcPr>
          <w:p>
            <w:pPr>
              <w:pStyle w:val="Normal"/>
              <w:ind w:firstLine="720" w:end="0"/>
              <w:jc w:val="both"/>
              <w:rPr/>
            </w:pPr>
            <w:r>
              <w:rPr/>
              <w:t>Calculation Period(s):</w:t>
            </w:r>
          </w:p>
        </w:tc>
        <w:tc>
          <w:tcPr>
            <w:tcW w:w="6102" w:type="dxa"/>
            <w:tcBorders/>
          </w:tcPr>
          <w:p>
            <w:pPr>
              <w:pStyle w:val="Normal"/>
              <w:ind w:start="-18" w:end="0"/>
              <w:jc w:val="both"/>
              <w:rPr/>
            </w:pPr>
            <w:r>
              <w:rPr/>
              <w:fldChar w:fldCharType="begin"/>
            </w:r>
            <w:r>
              <w:rPr/>
              <w:instrText xml:space="preserve"> MERGEFIELD DeterminationPeriod </w:instrText>
            </w:r>
            <w:r>
              <w:rPr/>
              <w:fldChar w:fldCharType="separate"/>
            </w:r>
            <w:r>
              <w:rPr/>
              <w:t>Each calendar month beginning with January 01, 2002 and ending on December 31, 2002.</w:t>
            </w:r>
            <w:r>
              <w:rPr/>
              <w:fldChar w:fldCharType="end"/>
            </w:r>
            <w:r>
              <w:rPr>
                <w:rFonts w:eastAsia="CG Times"/>
              </w:rPr>
              <w:t xml:space="preserve"> </w:t>
            </w:r>
            <w:r>
              <w:rPr/>
              <w:fldChar w:fldCharType="begin"/>
            </w:r>
            <w:r>
              <w:rPr/>
              <w:instrText xml:space="preserve"> MERGEFIELD HolidayExclusion </w:instrText>
            </w:r>
            <w:r>
              <w:rPr/>
              <w:fldChar w:fldCharType="separate"/>
            </w:r>
            <w:r>
              <w:rPr/>
              <w:t xml:space="preserve"> </w:t>
            </w:r>
            <w:r>
              <w:rPr/>
              <w:fldChar w:fldCharType="end"/>
            </w:r>
          </w:p>
        </w:tc>
      </w:tr>
    </w:tbl>
    <w:p>
      <w:pPr>
        <w:pStyle w:val="Normal"/>
        <w:ind w:end="-270"/>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pPr>
            <w:r>
              <w:rPr/>
              <w:t>Payment Date(s):</w:t>
            </w:r>
          </w:p>
        </w:tc>
        <w:tc>
          <w:tcPr>
            <w:tcW w:w="6102" w:type="dxa"/>
            <w:tcBorders/>
          </w:tcPr>
          <w:p>
            <w:pPr>
              <w:pStyle w:val="Normal"/>
              <w:ind w:start="-18" w:end="0"/>
              <w:jc w:val="both"/>
              <w:rPr/>
            </w:pPr>
            <w:r>
              <w:rPr/>
              <w:fldChar w:fldCharType="begin"/>
            </w:r>
            <w:r>
              <w:rPr/>
              <w:instrText xml:space="preserve"> MERGEFIELD PaymentDates </w:instrText>
            </w:r>
            <w:r>
              <w:rPr/>
              <w:fldChar w:fldCharType="separate"/>
            </w:r>
            <w:r>
              <w:rPr/>
              <w:t>The fifth (5th) Business Day succeeding the last Pricing Date for the applicable Calculation Period</w:t>
            </w:r>
            <w:r>
              <w:rPr/>
              <w:fldChar w:fldCharType="end"/>
            </w:r>
          </w:p>
        </w:tc>
      </w:tr>
    </w:tbl>
    <w:p>
      <w:pPr>
        <w:pStyle w:val="Caption"/>
        <w:rPr/>
      </w:pPr>
      <w:r>
        <w:rPr/>
        <w:t>EXHIBIT A</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rPr>
              <w:t>Fixed Amount Details:</w:t>
            </w:r>
            <w:r>
              <w:rPr/>
              <w:tab/>
            </w:r>
          </w:p>
        </w:tc>
        <w:tc>
          <w:tcPr>
            <w:tcW w:w="6102" w:type="dxa"/>
            <w:tcBorders/>
          </w:tcPr>
          <w:p>
            <w:pPr>
              <w:pStyle w:val="Normal"/>
              <w:snapToGrid w:val="false"/>
              <w:rPr/>
            </w:pPr>
            <w:r>
              <w:rPr/>
            </w:r>
          </w:p>
        </w:tc>
      </w:tr>
      <w:tr>
        <w:trPr/>
        <w:tc>
          <w:tcPr>
            <w:tcW w:w="4338" w:type="dxa"/>
            <w:tcBorders/>
          </w:tcPr>
          <w:p>
            <w:pPr>
              <w:pStyle w:val="Normal"/>
              <w:snapToGrid w:val="false"/>
              <w:rPr/>
            </w:pPr>
            <w:r>
              <w:rPr/>
            </w:r>
          </w:p>
        </w:tc>
        <w:tc>
          <w:tcPr>
            <w:tcW w:w="6102" w:type="dxa"/>
            <w:tcBorders/>
          </w:tcPr>
          <w:p>
            <w:pPr>
              <w:pStyle w:val="Normal"/>
              <w:snapToGrid w:val="false"/>
              <w:rPr/>
            </w:pPr>
            <w:r>
              <w:rPr/>
            </w:r>
          </w:p>
        </w:tc>
      </w:tr>
      <w:tr>
        <w:trPr/>
        <w:tc>
          <w:tcPr>
            <w:tcW w:w="4338" w:type="dxa"/>
            <w:tcBorders/>
          </w:tcPr>
          <w:p>
            <w:pPr>
              <w:pStyle w:val="Normal"/>
              <w:ind w:firstLine="720" w:end="0"/>
              <w:rPr/>
            </w:pPr>
            <w:r>
              <w:rPr/>
              <w:t>Fixed Price Payer:</w:t>
            </w:r>
          </w:p>
        </w:tc>
        <w:tc>
          <w:tcPr>
            <w:tcW w:w="6102" w:type="dxa"/>
            <w:tcBorders/>
          </w:tcPr>
          <w:p>
            <w:pPr>
              <w:pStyle w:val="Normal"/>
              <w:rPr/>
            </w:pPr>
            <w:r>
              <w:rPr/>
              <w:fldChar w:fldCharType="begin"/>
            </w:r>
            <w:r>
              <w:rPr/>
              <w:instrText xml:space="preserve"> MERGEFIELD ISDABuyer </w:instrText>
            </w:r>
            <w:r>
              <w:rPr/>
              <w:fldChar w:fldCharType="separate"/>
            </w:r>
            <w:r>
              <w:rPr/>
              <w:t>Party B</w:t>
            </w:r>
            <w:r>
              <w:rPr/>
              <w:fldChar w:fldCharType="end"/>
            </w:r>
          </w:p>
        </w:tc>
      </w:tr>
      <w:tr>
        <w:trPr/>
        <w:tc>
          <w:tcPr>
            <w:tcW w:w="4338" w:type="dxa"/>
            <w:tcBorders/>
          </w:tcPr>
          <w:p>
            <w:pPr>
              <w:pStyle w:val="Normal"/>
              <w:snapToGrid w:val="false"/>
              <w:rPr/>
            </w:pPr>
            <w:r>
              <w:rPr/>
            </w:r>
          </w:p>
        </w:tc>
        <w:tc>
          <w:tcPr>
            <w:tcW w:w="6102" w:type="dxa"/>
            <w:tcBorders/>
          </w:tcPr>
          <w:p>
            <w:pPr>
              <w:pStyle w:val="Normal"/>
              <w:snapToGrid w:val="false"/>
              <w:rPr/>
            </w:pPr>
            <w:r>
              <w:rPr/>
            </w:r>
          </w:p>
        </w:tc>
      </w:tr>
      <w:tr>
        <w:trPr/>
        <w:tc>
          <w:tcPr>
            <w:tcW w:w="4338" w:type="dxa"/>
            <w:tcBorders/>
          </w:tcPr>
          <w:p>
            <w:pPr>
              <w:pStyle w:val="Normal"/>
              <w:ind w:firstLine="720" w:end="0"/>
              <w:rPr/>
            </w:pPr>
            <w:r>
              <w:rPr/>
              <w:t>Fixed Price:</w:t>
            </w:r>
          </w:p>
        </w:tc>
        <w:tc>
          <w:tcPr>
            <w:tcW w:w="6102" w:type="dxa"/>
            <w:tcBorders/>
          </w:tcPr>
          <w:p>
            <w:pPr>
              <w:pStyle w:val="Normal"/>
              <w:jc w:val="both"/>
              <w:rPr/>
            </w:pPr>
            <w:r>
              <w:rPr/>
              <w:fldChar w:fldCharType="begin"/>
            </w:r>
            <w:r>
              <w:rPr/>
              <w:instrText xml:space="preserve"> MERGEFIELD FixedPrice </w:instrText>
            </w:r>
            <w:r>
              <w:rPr/>
              <w:fldChar w:fldCharType="separate"/>
            </w:r>
            <w:r>
              <w:rPr/>
              <w:t>US Dollars $4.04000 per MMBtu</w:t>
            </w:r>
            <w:r>
              <w:rPr/>
              <w:fldChar w:fldCharType="end"/>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rPr>
              <w:t>Floating Amount Details:</w:t>
            </w:r>
            <w:r>
              <w:rPr/>
              <w:tab/>
            </w:r>
          </w:p>
        </w:tc>
        <w:tc>
          <w:tcPr>
            <w:tcW w:w="6102" w:type="dxa"/>
            <w:tcBorders/>
          </w:tcPr>
          <w:p>
            <w:pPr>
              <w:pStyle w:val="Normal"/>
              <w:snapToGrid w:val="false"/>
              <w:rPr/>
            </w:pPr>
            <w:r>
              <w:rPr/>
            </w:r>
          </w:p>
        </w:tc>
      </w:tr>
      <w:tr>
        <w:trPr/>
        <w:tc>
          <w:tcPr>
            <w:tcW w:w="4338" w:type="dxa"/>
            <w:tcBorders/>
          </w:tcPr>
          <w:p>
            <w:pPr>
              <w:pStyle w:val="Normal"/>
              <w:snapToGrid w:val="false"/>
              <w:rPr/>
            </w:pPr>
            <w:r>
              <w:rPr/>
            </w:r>
          </w:p>
        </w:tc>
        <w:tc>
          <w:tcPr>
            <w:tcW w:w="6102" w:type="dxa"/>
            <w:tcBorders/>
          </w:tcPr>
          <w:p>
            <w:pPr>
              <w:pStyle w:val="Normal"/>
              <w:snapToGrid w:val="false"/>
              <w:rPr/>
            </w:pPr>
            <w:r>
              <w:rPr/>
            </w:r>
          </w:p>
        </w:tc>
      </w:tr>
      <w:tr>
        <w:trPr>
          <w:trHeight w:val="324" w:hRule="atLeast"/>
        </w:trPr>
        <w:tc>
          <w:tcPr>
            <w:tcW w:w="4338" w:type="dxa"/>
            <w:tcBorders/>
          </w:tcPr>
          <w:p>
            <w:pPr>
              <w:pStyle w:val="Normal"/>
              <w:ind w:firstLine="720" w:end="0"/>
              <w:rPr/>
            </w:pPr>
            <w:r>
              <w:rPr/>
              <w:t>Floating Price Payer:</w:t>
            </w:r>
          </w:p>
        </w:tc>
        <w:tc>
          <w:tcPr>
            <w:tcW w:w="6102" w:type="dxa"/>
            <w:tcBorders/>
          </w:tcPr>
          <w:p>
            <w:pPr>
              <w:pStyle w:val="Normal"/>
              <w:rPr/>
            </w:pPr>
            <w:r>
              <w:rPr/>
              <w:fldChar w:fldCharType="begin"/>
            </w:r>
            <w:r>
              <w:rPr/>
              <w:instrText xml:space="preserve"> MERGEFIELD ISDASeller </w:instrText>
            </w:r>
            <w:r>
              <w:rPr/>
              <w:fldChar w:fldCharType="separate"/>
            </w:r>
            <w:r>
              <w:rPr/>
              <w:t>Party A</w:t>
            </w:r>
            <w:r>
              <w:rPr/>
              <w:fldChar w:fldCharType="end"/>
            </w:r>
          </w:p>
        </w:tc>
      </w:tr>
      <w:tr>
        <w:trPr/>
        <w:tc>
          <w:tcPr>
            <w:tcW w:w="4338" w:type="dxa"/>
            <w:tcBorders/>
          </w:tcPr>
          <w:p>
            <w:pPr>
              <w:pStyle w:val="Normal"/>
              <w:snapToGrid w:val="false"/>
              <w:rPr/>
            </w:pPr>
            <w:r>
              <w:rPr/>
            </w:r>
          </w:p>
        </w:tc>
        <w:tc>
          <w:tcPr>
            <w:tcW w:w="6102" w:type="dxa"/>
            <w:tcBorders/>
          </w:tcPr>
          <w:p>
            <w:pPr>
              <w:pStyle w:val="Normal"/>
              <w:snapToGrid w:val="false"/>
              <w:rPr/>
            </w:pPr>
            <w:r>
              <w:rPr/>
            </w:r>
          </w:p>
        </w:tc>
      </w:tr>
      <w:tr>
        <w:trPr/>
        <w:tc>
          <w:tcPr>
            <w:tcW w:w="4338" w:type="dxa"/>
            <w:tcBorders/>
          </w:tcPr>
          <w:p>
            <w:pPr>
              <w:pStyle w:val="Normal"/>
              <w:ind w:firstLine="720" w:end="0"/>
              <w:rPr/>
            </w:pPr>
            <w:r>
              <w:rPr/>
              <w:t>Floating Price and</w:t>
            </w:r>
          </w:p>
          <w:p>
            <w:pPr>
              <w:pStyle w:val="Normal"/>
              <w:ind w:firstLine="720" w:end="0"/>
              <w:rPr/>
            </w:pPr>
            <w:r>
              <w:rPr/>
              <w:t>Pricing Date(s):</w:t>
            </w:r>
          </w:p>
        </w:tc>
        <w:tc>
          <w:tcPr>
            <w:tcW w:w="6102" w:type="dxa"/>
            <w:tcBorders/>
          </w:tcPr>
          <w:p>
            <w:pPr>
              <w:pStyle w:val="Normal"/>
              <w:snapToGrid w:val="false"/>
              <w:jc w:val="both"/>
              <w:rPr/>
            </w:pPr>
            <w:r>
              <w:rPr/>
            </w:r>
          </w:p>
          <w:p>
            <w:pPr>
              <w:pStyle w:val="Normal"/>
              <w:jc w:val="both"/>
              <w:rPr/>
            </w:pPr>
            <w:r>
              <w:rPr/>
              <w:fldChar w:fldCharType="begin"/>
            </w:r>
            <w:r>
              <w:rPr/>
              <w:instrText xml:space="preserve"> MERGEFIELD FloatPrice </w:instrText>
            </w:r>
            <w:r>
              <w:rPr/>
              <w:fldChar w:fldCharType="separate"/>
            </w:r>
            <w:r>
              <w:rPr/>
              <w:t>The settlement price for the last scheduled Trading Day of the NYMEX Henry Hub Natural Gas Futures Contract for the applicable Calculation Period</w:t>
            </w:r>
            <w:r>
              <w:rPr/>
              <w:fldChar w:fldCharType="end"/>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pPr>
            <w:r>
              <w:rPr/>
              <w:fldChar w:fldCharType="begin"/>
            </w:r>
            <w:r>
              <w:rPr/>
              <w:instrText xml:space="preserve"> MERGEFIELD Rounding </w:instrText>
            </w:r>
            <w:r>
              <w:rPr/>
              <w:fldChar w:fldCharType="separate"/>
            </w:r>
            <w:r>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fldChar w:fldCharType="end"/>
            </w:r>
          </w:p>
        </w:tc>
      </w:tr>
    </w:tbl>
    <w:p>
      <w:pPr>
        <w:pStyle w:val="Normal"/>
        <w:jc w:val="both"/>
        <w:rPr/>
      </w:pPr>
      <w:r>
        <w:rPr/>
      </w:r>
    </w:p>
    <w:p>
      <w:pPr>
        <w:pStyle w:val="Normal"/>
        <w:jc w:val="both"/>
        <w:rPr/>
      </w:pPr>
      <w:r>
        <w:rPr/>
        <w:tab/>
      </w:r>
      <w:r>
        <w:rPr/>
        <w:fldChar w:fldCharType="begin"/>
      </w:r>
      <w:r>
        <w:rPr/>
        <w:instrText xml:space="preserve"> MERGEFIELD CanadaSecurityLanguage </w:instrText>
      </w:r>
      <w:r>
        <w:rPr/>
        <w:fldChar w:fldCharType="separate"/>
      </w:r>
      <w:r>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r>
        <w:rPr/>
        <w:fldChar w:fldCharType="end"/>
      </w:r>
    </w:p>
    <w:p>
      <w:pPr>
        <w:pStyle w:val="Normal"/>
        <w:ind w:firstLine="720" w:end="0"/>
        <w:jc w:val="both"/>
        <w:rPr/>
      </w:pPr>
      <w:r>
        <w:rPr/>
      </w:r>
    </w:p>
    <w:p>
      <w:pPr>
        <w:pStyle w:val="Normal"/>
        <w:rPr/>
      </w:pPr>
      <w:r>
        <w:rPr/>
        <w:tab/>
      </w:r>
      <w:r>
        <w:rPr>
          <w:color w:val="000000"/>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pPr>
      <w:r>
        <w:rPr/>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pPr>
            <w:r>
              <w:rPr/>
              <w:t>Yours sincerely,</w:t>
            </w:r>
          </w:p>
          <w:p>
            <w:pPr>
              <w:pStyle w:val="Normal"/>
              <w:keepLines/>
              <w:rPr/>
            </w:pPr>
            <w:r>
              <w:rPr/>
            </w:r>
          </w:p>
          <w:p>
            <w:pPr>
              <w:pStyle w:val="Normal"/>
              <w:keepLines/>
              <w:rPr/>
            </w:pPr>
            <w:r>
              <w:rPr/>
            </w:r>
          </w:p>
          <w:p>
            <w:pPr>
              <w:pStyle w:val="Normal"/>
              <w:keepLines/>
              <w:rPr/>
            </w:pPr>
            <w:r>
              <w:rPr/>
              <w:fldChar w:fldCharType="begin"/>
            </w:r>
            <w:r>
              <w:rPr/>
              <w:instrText xml:space="preserve"> MERGEFIELD EnronEntityName </w:instrText>
            </w:r>
            <w:r>
              <w:rPr/>
              <w:fldChar w:fldCharType="separate"/>
            </w:r>
            <w:r>
              <w:rPr/>
              <w:t>Enron North America Corp.</w:t>
            </w:r>
            <w:r>
              <w:rPr/>
              <w:fldChar w:fldCharType="end"/>
            </w:r>
          </w:p>
          <w:p>
            <w:pPr>
              <w:pStyle w:val="Normal"/>
              <w:keepLines/>
              <w:rPr/>
            </w:pPr>
            <w:r>
              <w:rPr/>
            </w:r>
          </w:p>
          <w:p>
            <w:pPr>
              <w:pStyle w:val="Normal"/>
              <w:keepLines/>
              <w:rPr/>
            </w:pPr>
            <w:r>
              <w:rPr/>
              <w:t xml:space="preserve">By:        </w:t>
            </w:r>
          </w:p>
          <w:p>
            <w:pPr>
              <w:pStyle w:val="Normal"/>
              <w:keepLines/>
              <w:rPr/>
            </w:pPr>
            <w:r>
              <w:rPr/>
              <w:t xml:space="preserve">Name:   </w:t>
            </w:r>
          </w:p>
          <w:p>
            <w:pPr>
              <w:pStyle w:val="Normal"/>
              <w:keepLines/>
              <w:rPr/>
            </w:pPr>
            <w:r>
              <w:rPr/>
              <w:t xml:space="preserve">Title:     </w:t>
            </w:r>
          </w:p>
        </w:tc>
        <w:tc>
          <w:tcPr>
            <w:tcW w:w="5292" w:type="dxa"/>
            <w:tcBorders/>
          </w:tcPr>
          <w:p>
            <w:pPr>
              <w:pStyle w:val="Normal"/>
              <w:keepLines/>
              <w:snapToGrid w:val="false"/>
              <w:rPr/>
            </w:pPr>
            <w:r>
              <w:rPr/>
            </w:r>
          </w:p>
          <w:p>
            <w:pPr>
              <w:pStyle w:val="Normal"/>
              <w:keepLines/>
              <w:rPr/>
            </w:pPr>
            <w:r>
              <w:rPr/>
            </w:r>
          </w:p>
          <w:p>
            <w:pPr>
              <w:pStyle w:val="Normal"/>
              <w:keepLines/>
              <w:rPr/>
            </w:pPr>
            <w:r>
              <w:rPr/>
            </w:r>
          </w:p>
          <w:p>
            <w:pPr>
              <w:pStyle w:val="Normal"/>
              <w:keepLines/>
              <w:rPr/>
            </w:pPr>
            <w:r>
              <w:rPr/>
              <w:fldChar w:fldCharType="begin"/>
            </w:r>
            <w:r>
              <w:rPr/>
              <w:instrText xml:space="preserve"> MERGEFIELD CounterpartyName </w:instrText>
            </w:r>
            <w:r>
              <w:rPr/>
              <w:fldChar w:fldCharType="separate"/>
            </w:r>
            <w:r>
              <w:rPr/>
              <w:t>Bank of Montreal</w:t>
            </w:r>
            <w:r>
              <w:rPr/>
              <w:fldChar w:fldCharType="end"/>
            </w:r>
          </w:p>
          <w:p>
            <w:pPr>
              <w:pStyle w:val="Normal"/>
              <w:keepLines/>
              <w:rPr/>
            </w:pPr>
            <w:r>
              <w:rPr/>
            </w:r>
          </w:p>
          <w:p>
            <w:pPr>
              <w:pStyle w:val="Normal"/>
              <w:keepLines/>
              <w:rPr/>
            </w:pPr>
            <w:r>
              <w:rPr/>
            </w:r>
          </w:p>
          <w:p>
            <w:pPr>
              <w:pStyle w:val="Normal"/>
              <w:keepLines/>
              <w:rPr/>
            </w:pPr>
            <w:r>
              <w:rPr/>
              <w:t xml:space="preserve">By:  </w:t>
            </w:r>
            <w:r>
              <w:rPr>
                <w:u w:val="single"/>
              </w:rPr>
              <w:tab/>
              <w:tab/>
              <w:tab/>
              <w:tab/>
              <w:tab/>
            </w:r>
            <w:r>
              <w:rPr/>
              <w:tab/>
            </w:r>
          </w:p>
          <w:p>
            <w:pPr>
              <w:pStyle w:val="Normal"/>
              <w:keepLines/>
              <w:rPr/>
            </w:pPr>
            <w:r>
              <w:rPr/>
              <w:t xml:space="preserve">Name:  </w:t>
            </w:r>
            <w:r>
              <w:rPr>
                <w:u w:val="single"/>
              </w:rPr>
              <w:tab/>
              <w:tab/>
              <w:tab/>
              <w:tab/>
              <w:tab/>
            </w:r>
          </w:p>
          <w:p>
            <w:pPr>
              <w:pStyle w:val="Normal"/>
              <w:keepLines/>
              <w:rPr/>
            </w:pPr>
            <w:r>
              <w:rPr/>
              <w:t xml:space="preserve">Title:  </w:t>
            </w:r>
            <w:r>
              <w:rPr>
                <w:u w:val="single"/>
              </w:rPr>
              <w:tab/>
              <w:tab/>
              <w:tab/>
              <w:tab/>
              <w:tab/>
            </w:r>
          </w:p>
        </w:tc>
      </w:tr>
    </w:tbl>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footerReference w:type="default" r:id="rId4"/>
      <w:type w:val="nextPage"/>
      <w:pgSz w:w="12240" w:h="15840"/>
      <w:pgMar w:left="1152" w:right="1152"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ind w:hanging="0" w:start="0" w:end="-270"/>
      <w:jc w:val="center"/>
    </w:pPr>
    <w:rPr>
      <w:b/>
      <w:bC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2001-11-06T16:27:00Z</dcterms:created>
  <dc:creator>ECT</dc:creator>
  <dc:description/>
  <dc:language>en-CA</dc:language>
  <cp:lastModifiedBy>danders2</cp:lastModifiedBy>
  <dcterms:modified xsi:type="dcterms:W3CDTF">2001-11-06T16:27:00Z</dcterms:modified>
  <cp:revision>2</cp:revision>
  <dc:subject>Reliant Energy Services, Inc.</dc:subject>
  <dc:title>YH2564.1</dc:title>
</cp:coreProperties>
</file>