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tabs>
          <w:tab w:val="clear" w:pos="720"/>
          <w:tab w:val="left" w:pos="3870" w:leader="none"/>
        </w:tabs>
        <w:rPr/>
      </w:pPr>
      <w:r>
        <w:rPr>
          <w:sz w:val="22"/>
        </w:rPr>
        <w:tab/>
        <w:tab/>
      </w: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November 05,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Bank of Montreal</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(416) 360-0853</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b/>
          <w:bCs/>
          <w:sz w:val="22"/>
        </w:rPr>
        <w:fldChar w:fldCharType="begin"/>
      </w:r>
      <w:r>
        <w:rPr>
          <w:sz w:val="22"/>
          <w:b/>
          <w:bCs/>
        </w:rPr>
        <w:instrText xml:space="preserve"> MERGEFIELD DealNumber </w:instrText>
      </w:r>
      <w:r>
        <w:rPr>
          <w:sz w:val="22"/>
          <w:b/>
          <w:bCs/>
        </w:rPr>
        <w:fldChar w:fldCharType="separate"/>
      </w:r>
      <w:r>
        <w:rPr>
          <w:sz w:val="22"/>
          <w:b/>
          <w:bCs/>
        </w:rPr>
        <w:t>YH2566.1</w:t>
      </w:r>
      <w:r>
        <w:rPr>
          <w:sz w:val="22"/>
          <w:b/>
          <w:bCs/>
        </w:rPr>
        <w:fldChar w:fldCharType="end"/>
      </w:r>
    </w:p>
    <w:p>
      <w:pPr>
        <w:pStyle w:val="Normal"/>
        <w:rPr>
          <w:sz w:val="22"/>
        </w:rPr>
      </w:pPr>
      <w:r>
        <w:rPr>
          <w:sz w:val="22"/>
        </w:rPr>
      </w:r>
    </w:p>
    <w:p>
      <w:pPr>
        <w:pStyle w:val="BodyText2"/>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November 15, 1996</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45,000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November 05,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April 01, 2003</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2003</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01, 2003 and ending on October 31, 2003.</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$4.29000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Calculation Period</w:t>
            </w:r>
            <w:r>
              <w:rPr>
                <w:sz w:val="22"/>
              </w:rPr>
              <w:fldChar w:fldCharType="end"/>
            </w:r>
          </w:p>
        </w:tc>
      </w:tr>
    </w:tbl>
    <w:p>
      <w:pPr>
        <w:pStyle w:val="Normal"/>
        <w:rPr>
          <w:sz w:val="22"/>
        </w:rPr>
      </w:pPr>
      <w:r>
        <w:rPr>
          <w:sz w:val="22"/>
        </w:rPr>
      </w:r>
    </w:p>
    <w:p>
      <w:pPr>
        <w:pStyle w:val="Normal"/>
        <w:rPr/>
      </w:pPr>
      <w:r>
        <w:rPr>
          <w:sz w:val="22"/>
        </w:rPr>
        <w:t xml:space="preserve">Each of the parties to this Agreement recognizes and acknowledges that the parties are acting and agreeing to perform their obligations hereunder in reliance upon (i) the timely execution and delivery by </w:t>
      </w:r>
      <w:r>
        <w:rPr>
          <w:b/>
          <w:bCs/>
          <w:sz w:val="22"/>
        </w:rPr>
        <w:t>Reliant Energy Services, Inc.</w:t>
      </w:r>
      <w:r>
        <w:rPr/>
        <w:t xml:space="preserve"> (“Third Party”) and Party A of a transaction in substantially the form attached hereto as Exhibit A (“Third Party Transaction A”) and would not otherwise agree to execute, deliver and perform under this Agreement if Third Party and Party A were not contemporaneously executing and delivering Third Party Transaction A and (ii) the timely execution and delivery by Third Party and Party B of a transaction in substantially the form attached hereto as Exhibit B (“Third Party Transaction B”) and would not otherwise agree to execute, deliver and perform under this Agreement if Third Party and Party B were not contemporaneously executing and delivering Third Party Transaction B.  The effectiveness of this Agreement shall be subject to the condition that contemporaneously with the execution and delivery of this Agreement Party A and Third Party execute and deliver Third Party Transaction A and Party B and Third Party execute and deliver Third Party Transaction B. </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rPr>
          <w:sz w:val="22"/>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Bank of Montreal</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sz w:val="22"/>
        </w:rPr>
      </w:pPr>
      <w:r>
        <w:rPr>
          <w:sz w:val="22"/>
        </w:rPr>
      </w:r>
      <w:r>
        <w:br w:type="page"/>
      </w:r>
    </w:p>
    <w:p>
      <w:pPr>
        <w:pStyle w:val="Normal"/>
        <w:jc w:val="center"/>
        <w:rPr/>
      </w:pPr>
      <w:r>
        <w:rPr/>
        <w:t>EXHIBIT A</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Header"/>
        <w:jc w:val="center"/>
        <w:rPr>
          <w:b/>
          <w:sz w:val="22"/>
        </w:rPr>
      </w:pPr>
      <w:r>
        <w:rPr>
          <w:b/>
          <w:sz w:val="22"/>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2"/>
        </w:rPr>
      </w:pPr>
      <w:r>
        <w:rPr>
          <w:b/>
          <w:sz w:val="22"/>
        </w:rPr>
        <w:t>(SWAP)</w:t>
      </w:r>
    </w:p>
    <w:p>
      <w:pPr>
        <w:pStyle w:val="Normal"/>
        <w:ind w:end="4986"/>
        <w:jc w:val="end"/>
        <w:rPr>
          <w:b/>
          <w:i/>
          <w:i/>
          <w:sz w:val="22"/>
        </w:rPr>
      </w:pPr>
      <w:r>
        <w:rPr>
          <w:b/>
          <w:i/>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November 05,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Reliant Energy Services,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(713) 207-9562</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color w:val="000000"/>
          <w:sz w:val="22"/>
        </w:rPr>
        <w:fldChar w:fldCharType="begin"/>
      </w:r>
      <w:r>
        <w:rPr>
          <w:sz w:val="22"/>
          <w:color w:val="000000"/>
        </w:rPr>
        <w:instrText xml:space="preserve"> MERGEFIELD DealNumber </w:instrText>
      </w:r>
      <w:r>
        <w:rPr>
          <w:sz w:val="22"/>
          <w:color w:val="000000"/>
        </w:rPr>
        <w:fldChar w:fldCharType="separate"/>
      </w:r>
      <w:r>
        <w:rPr>
          <w:sz w:val="22"/>
          <w:color w:val="000000"/>
        </w:rPr>
        <w:t>YH2567.1</w:t>
      </w:r>
      <w:r>
        <w:rPr>
          <w:sz w:val="22"/>
          <w:color w:val="000000"/>
        </w:rPr>
        <w:fldChar w:fldCharType="end"/>
      </w:r>
    </w:p>
    <w:p>
      <w:pPr>
        <w:pStyle w:val="Normal"/>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Reference is made to the Master Agreement dated as of </w:t>
      </w:r>
      <w:r>
        <w:rPr>
          <w:sz w:val="22"/>
        </w:rPr>
        <w:fldChar w:fldCharType="begin"/>
      </w:r>
      <w:r>
        <w:rPr>
          <w:sz w:val="22"/>
        </w:rPr>
        <w:instrText xml:space="preserve"> MERGEFIELD FinancialMasterDate </w:instrText>
      </w:r>
      <w:r>
        <w:rPr>
          <w:sz w:val="22"/>
        </w:rPr>
        <w:fldChar w:fldCharType="separate"/>
      </w:r>
      <w:r>
        <w:rPr>
          <w:sz w:val="22"/>
        </w:rPr>
        <w:t>October 15, 1993</w:t>
      </w:r>
      <w:r>
        <w:rPr>
          <w:sz w:val="22"/>
        </w:rPr>
        <w:fldChar w:fldCharType="end"/>
      </w:r>
      <w:r>
        <w:rPr>
          <w:sz w:val="22"/>
        </w:rPr>
        <w:t xml:space="preserve"> (the "Agreement") between </w:t>
      </w:r>
      <w:r>
        <w:rPr>
          <w:sz w:val="22"/>
        </w:rPr>
        <w:fldChar w:fldCharType="begin"/>
      </w:r>
      <w:r>
        <w:rPr>
          <w:sz w:val="22"/>
        </w:rPr>
        <w:instrText xml:space="preserve"> MERGEFIELD CounterpartyName </w:instrText>
      </w:r>
      <w:r>
        <w:rPr>
          <w:sz w:val="22"/>
        </w:rPr>
        <w:fldChar w:fldCharType="separate"/>
      </w:r>
      <w:r>
        <w:rPr>
          <w:sz w:val="22"/>
        </w:rPr>
        <w:t>Reliant Energy Services, Inc.</w:t>
      </w:r>
      <w:r>
        <w:rPr>
          <w:sz w:val="22"/>
        </w:rPr>
        <w:fldChar w:fldCharType="end"/>
      </w:r>
      <w:r>
        <w:rPr>
          <w:sz w:val="22"/>
        </w:rPr>
        <w:t xml:space="preserve"> ("Counterparty") and </w:t>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This is a confirmation of the following Transaction entered between us on </w:t>
      </w:r>
      <w:r>
        <w:rPr>
          <w:i/>
          <w:sz w:val="22"/>
        </w:rPr>
        <w:fldChar w:fldCharType="begin"/>
      </w:r>
      <w:r>
        <w:rPr>
          <w:sz w:val="22"/>
          <w:i/>
        </w:rPr>
        <w:instrText xml:space="preserve"> MERGEFIELD DealDate </w:instrText>
      </w:r>
      <w:r>
        <w:rPr>
          <w:sz w:val="22"/>
          <w:i/>
        </w:rPr>
        <w:fldChar w:fldCharType="separate"/>
      </w:r>
      <w:r>
        <w:rPr>
          <w:sz w:val="22"/>
          <w:i/>
        </w:rPr>
        <w:t>November 05, 2001</w:t>
      </w:r>
      <w:r>
        <w:rPr>
          <w:sz w:val="22"/>
          <w:i/>
        </w:rPr>
        <w:fldChar w:fldCharType="end"/>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rPr>
          <w:b/>
          <w:sz w:val="22"/>
        </w:rPr>
      </w:pPr>
      <w:r>
        <w:rPr>
          <w:b/>
          <w:sz w:val="22"/>
        </w:rPr>
        <w:t>General Terms:</w:t>
      </w:r>
    </w:p>
    <w:p>
      <w:pPr>
        <w:pStyle w:val="Normal"/>
        <w:rPr>
          <w:b/>
          <w:sz w:val="22"/>
        </w:rPr>
      </w:pPr>
      <w:r>
        <w:rPr>
          <w:b/>
          <w:sz w:val="22"/>
        </w:rPr>
      </w:r>
    </w:p>
    <w:p>
      <w:pPr>
        <w:pStyle w:val="Normal"/>
        <w:ind w:firstLine="720" w:end="0"/>
        <w:rPr>
          <w:sz w:val="22"/>
        </w:rPr>
      </w:pPr>
      <w:r>
        <w:rPr>
          <w:sz w:val="22"/>
        </w:rPr>
        <w:t>Type of Transaction:</w:t>
        <w:tab/>
        <w:tab/>
        <w:tab/>
        <w:t>Swap</w:t>
      </w:r>
    </w:p>
    <w:p>
      <w:pPr>
        <w:pStyle w:val="Normal"/>
        <w:ind w:firstLine="720" w:end="0"/>
        <w:rPr>
          <w:sz w:val="22"/>
        </w:rPr>
      </w:pPr>
      <w:r>
        <w:rPr>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Determination Period:</w:t>
            </w:r>
          </w:p>
        </w:tc>
        <w:tc>
          <w:tcPr>
            <w:tcW w:w="5814"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45,000 MMBtu multiplied by the number of days in the relevant Determination Period</w:t>
            </w:r>
            <w:r>
              <w:rPr>
                <w:sz w:val="22"/>
              </w:rPr>
              <w:fldChar w:fldCharType="end"/>
            </w:r>
          </w:p>
          <w:p>
            <w:pPr>
              <w:pStyle w:val="Normal"/>
              <w:jc w:val="both"/>
              <w:rPr>
                <w:sz w:val="22"/>
              </w:rPr>
            </w:pPr>
            <w:r>
              <w:rPr>
                <w:sz w:val="22"/>
              </w:rPr>
            </w:r>
          </w:p>
        </w:tc>
      </w:tr>
    </w:tbl>
    <w:p>
      <w:pPr>
        <w:pStyle w:val="Normal"/>
        <w:ind w:firstLine="720" w:end="0"/>
        <w:jc w:val="both"/>
        <w:rPr>
          <w:sz w:val="22"/>
        </w:rPr>
      </w:pPr>
      <w:r>
        <w:rPr>
          <w:sz w:val="22"/>
        </w:rPr>
        <w:t xml:space="preserve">Commodity     </w:t>
        <w:tab/>
        <w:tab/>
        <w:tab/>
        <w:tab/>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p>
      <w:pPr>
        <w:pStyle w:val="Normal"/>
        <w:rPr>
          <w:sz w:val="22"/>
        </w:rPr>
      </w:pPr>
      <w:r>
        <w:rPr>
          <w:sz w:val="22"/>
        </w:rPr>
      </w:r>
    </w:p>
    <w:p>
      <w:pPr>
        <w:pStyle w:val="Normal"/>
        <w:ind w:firstLine="720" w:end="0"/>
        <w:jc w:val="both"/>
        <w:rPr>
          <w:sz w:val="22"/>
        </w:rPr>
      </w:pPr>
      <w:r>
        <w:rPr>
          <w:sz w:val="22"/>
        </w:rPr>
        <w:t>Effective Date:</w:t>
        <w:tab/>
        <w:tab/>
        <w:tab/>
        <w:tab/>
      </w:r>
      <w:r>
        <w:rPr>
          <w:sz w:val="22"/>
        </w:rPr>
        <w:fldChar w:fldCharType="begin"/>
      </w:r>
      <w:r>
        <w:rPr>
          <w:sz w:val="22"/>
        </w:rPr>
        <w:instrText xml:space="preserve"> MERGEFIELD TransStartDate </w:instrText>
      </w:r>
      <w:r>
        <w:rPr>
          <w:sz w:val="22"/>
        </w:rPr>
        <w:fldChar w:fldCharType="separate"/>
      </w:r>
      <w:r>
        <w:rPr>
          <w:sz w:val="22"/>
        </w:rPr>
        <w:t>April 01, 2003</w:t>
      </w:r>
      <w:r>
        <w:rPr>
          <w:sz w:val="22"/>
        </w:rPr>
        <w:fldChar w:fldCharType="end"/>
      </w:r>
    </w:p>
    <w:p>
      <w:pPr>
        <w:pStyle w:val="Normal"/>
        <w:rPr>
          <w:sz w:val="22"/>
        </w:rPr>
      </w:pPr>
      <w:r>
        <w:rPr>
          <w:sz w:val="22"/>
        </w:rPr>
      </w:r>
    </w:p>
    <w:p>
      <w:pPr>
        <w:pStyle w:val="Normal"/>
        <w:ind w:firstLine="720" w:end="0"/>
        <w:jc w:val="both"/>
        <w:rPr>
          <w:sz w:val="22"/>
        </w:rPr>
      </w:pPr>
      <w:r>
        <w:rPr>
          <w:sz w:val="22"/>
        </w:rPr>
        <w:t>Termination Date:</w:t>
        <w:tab/>
        <w:tab/>
        <w:tab/>
      </w:r>
      <w:r>
        <w:rPr>
          <w:sz w:val="22"/>
        </w:rPr>
        <w:fldChar w:fldCharType="begin"/>
      </w:r>
      <w:r>
        <w:rPr>
          <w:sz w:val="22"/>
        </w:rPr>
        <w:instrText xml:space="preserve"> MERGEFIELD TransStopDate </w:instrText>
      </w:r>
      <w:r>
        <w:rPr>
          <w:sz w:val="22"/>
        </w:rPr>
        <w:fldChar w:fldCharType="separate"/>
      </w:r>
      <w:r>
        <w:rPr>
          <w:sz w:val="22"/>
        </w:rPr>
        <w:t>October 31, 2003</w:t>
      </w:r>
      <w:r>
        <w:rPr>
          <w:sz w:val="22"/>
        </w:rPr>
        <w:fldChar w:fldCharType="end"/>
      </w:r>
    </w:p>
    <w:p>
      <w:pPr>
        <w:pStyle w:val="Normal"/>
        <w:rPr>
          <w:sz w:val="22"/>
        </w:rPr>
      </w:pPr>
      <w:r>
        <w:rPr>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Determination Period(s):</w:t>
            </w:r>
          </w:p>
        </w:tc>
        <w:tc>
          <w:tcPr>
            <w:tcW w:w="5814"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01, 2003 and ending on October 31, 2003.</w:t>
            </w:r>
            <w:r>
              <w:rPr>
                <w:sz w:val="22"/>
              </w:rPr>
              <w:fldChar w:fldCharType="end"/>
            </w:r>
          </w:p>
        </w:tc>
      </w:tr>
    </w:tbl>
    <w:p>
      <w:pPr>
        <w:pStyle w:val="Normal"/>
        <w:tabs>
          <w:tab w:val="clear" w:pos="720"/>
          <w:tab w:val="left" w:pos="360" w:leader="none"/>
        </w:tabs>
        <w:jc w:val="both"/>
        <w:rPr>
          <w:sz w:val="22"/>
        </w:rPr>
      </w:pPr>
      <w:r>
        <w:rPr>
          <w:sz w:val="22"/>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sz w:val="22"/>
              </w:rPr>
            </w:pPr>
            <w:r>
              <w:rPr>
                <w:sz w:val="22"/>
              </w:rPr>
              <w:t>Payment Date(s):</w:t>
            </w:r>
          </w:p>
        </w:tc>
        <w:tc>
          <w:tcPr>
            <w:tcW w:w="5814" w:type="dxa"/>
            <w:tcBorders/>
          </w:tcPr>
          <w:p>
            <w:pPr>
              <w:pStyle w:val="Normal"/>
              <w:tabs>
                <w:tab w:val="clear" w:pos="720"/>
                <w:tab w:val="left" w:pos="36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Fixed Amount Details:</w:t>
      </w:r>
    </w:p>
    <w:p>
      <w:pPr>
        <w:pStyle w:val="Normal"/>
        <w:tabs>
          <w:tab w:val="clear" w:pos="720"/>
          <w:tab w:val="left" w:pos="360" w:leader="none"/>
        </w:tabs>
        <w:jc w:val="both"/>
        <w:rPr>
          <w:b/>
          <w:sz w:val="22"/>
        </w:rPr>
      </w:pPr>
      <w:r>
        <w:rPr>
          <w:b/>
          <w:sz w:val="22"/>
        </w:rPr>
      </w:r>
    </w:p>
    <w:p>
      <w:pPr>
        <w:pStyle w:val="Normal"/>
        <w:ind w:firstLine="720" w:end="0"/>
        <w:jc w:val="both"/>
        <w:rPr>
          <w:sz w:val="22"/>
        </w:rPr>
      </w:pPr>
      <w:r>
        <w:rPr>
          <w:sz w:val="22"/>
        </w:rPr>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rPr>
          <w:sz w:val="22"/>
        </w:rPr>
      </w:pPr>
      <w:r>
        <w:rPr>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Fixed Price:</w:t>
            </w:r>
          </w:p>
        </w:tc>
        <w:tc>
          <w:tcPr>
            <w:tcW w:w="5814"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$4.29000 per MMBtu</w:t>
            </w:r>
            <w:r>
              <w:rPr>
                <w:sz w:val="22"/>
              </w:rPr>
              <w:fldChar w:fldCharType="end"/>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ind w:firstLine="720" w:end="0"/>
        <w:jc w:val="both"/>
        <w:rPr>
          <w:sz w:val="22"/>
        </w:rPr>
      </w:pPr>
      <w:r>
        <w:rPr>
          <w:sz w:val="22"/>
        </w:rPr>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jc w:val="center"/>
        <w:rPr>
          <w:b/>
          <w:bCs/>
          <w:sz w:val="22"/>
        </w:rPr>
      </w:pPr>
      <w:r>
        <w:rPr>
          <w:b/>
          <w:bCs/>
          <w:sz w:val="22"/>
        </w:rPr>
        <w:t>EXHIBIT A</w:t>
      </w:r>
    </w:p>
    <w:p>
      <w:pPr>
        <w:pStyle w:val="Normal"/>
        <w:rPr>
          <w:b/>
          <w:bCs/>
          <w:sz w:val="22"/>
        </w:rPr>
      </w:pPr>
      <w:r>
        <w:rPr>
          <w:b/>
          <w:bCs/>
          <w:sz w:val="22"/>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sz w:val="22"/>
              </w:rPr>
            </w:pPr>
            <w:r>
              <w:rPr>
                <w:sz w:val="22"/>
              </w:rPr>
              <w:t>Floating Price:</w:t>
            </w:r>
          </w:p>
        </w:tc>
        <w:tc>
          <w:tcPr>
            <w:tcW w:w="5814"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Determination Period</w:t>
            </w:r>
            <w:r>
              <w:rPr>
                <w:sz w:val="22"/>
              </w:rPr>
              <w:fldChar w:fldCharType="end"/>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814"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152" w:type="dxa"/>
            <w:gridSpan w:val="2"/>
            <w:tcBorders/>
          </w:tcPr>
          <w:p>
            <w:pPr>
              <w:pStyle w:val="Normal"/>
              <w:snapToGrid w:val="false"/>
              <w:ind w:firstLine="540" w:start="180" w:end="0"/>
              <w:jc w:val="both"/>
              <w:rPr>
                <w:sz w:val="22"/>
              </w:rPr>
            </w:pPr>
            <w:r>
              <w:rPr>
                <w:sz w:val="22"/>
              </w:rPr>
            </w:r>
          </w:p>
        </w:tc>
      </w:tr>
      <w:tr>
        <w:trPr/>
        <w:tc>
          <w:tcPr>
            <w:tcW w:w="10152" w:type="dxa"/>
            <w:gridSpan w:val="2"/>
            <w:tcBorders/>
          </w:tcPr>
          <w:p>
            <w:pPr>
              <w:pStyle w:val="Normal"/>
              <w:ind w:firstLine="540" w:start="18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YH2567.1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Reliant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rPr>
          <w:sz w:val="22"/>
        </w:rPr>
      </w:pPr>
      <w:r>
        <w:rPr>
          <w:sz w:val="22"/>
        </w:rPr>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2001-11-06T16:23:00Z</dcterms:created>
  <dc:creator>ECT</dc:creator>
  <dc:description/>
  <dc:language>en-CA</dc:language>
  <cp:lastModifiedBy>danders2</cp:lastModifiedBy>
  <dcterms:modified xsi:type="dcterms:W3CDTF">2001-11-06T16:23:00Z</dcterms:modified>
  <cp:revision>2</cp:revision>
  <dc:subject>Bank of Montreal</dc:subject>
  <dc:title>YH2566.1</dc:title>
</cp:coreProperties>
</file>