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3.9pt;height:63.3pt" filled="f" o:ole="">
                  <v:imagedata r:id="rId3" o:title=""/>
                </v:shape>
                <o:OLEObject Type="Embed" ProgID="" ShapeID="ole_rId2" DrawAspect="Content" ObjectID="_1404600177" r:id="rId2"/>
              </w:object>
            </w:r>
          </w:p>
        </w:tc>
        <w:tc>
          <w:tcPr>
            <w:tcW w:w="7740" w:type="dxa"/>
            <w:tcBorders/>
          </w:tcPr>
          <w:p>
            <w:pPr>
              <w:pStyle w:val="Heading"/>
              <w:ind w:start="5022" w:end="0"/>
              <w:rPr>
                <w:b w:val="false"/>
                <w:sz w:val="18"/>
              </w:rPr>
            </w:pPr>
            <w:r>
              <w:rPr>
                <w:sz w:val="18"/>
              </w:rPr>
              <w:br/>
              <w:t>Enron Power Marketing, Inc.</w:t>
            </w:r>
          </w:p>
          <w:p>
            <w:pPr>
              <w:pStyle w:val="Heading"/>
              <w:ind w:start="5022" w:end="0"/>
              <w:rPr>
                <w:b w:val="false"/>
                <w:i/>
                <w:i/>
                <w:sz w:val="16"/>
              </w:rPr>
            </w:pPr>
            <w:r>
              <w:rPr>
                <w:b w:val="false"/>
                <w:i/>
                <w:sz w:val="16"/>
              </w:rPr>
              <w:t>P.O. Box 4428</w:t>
            </w:r>
          </w:p>
          <w:p>
            <w:pPr>
              <w:pStyle w:val="Normal"/>
              <w:ind w:start="5022" w:end="0"/>
              <w:rPr>
                <w:rFonts w:ascii="Arial" w:hAnsi="Arial" w:cs="Arial"/>
                <w:i/>
                <w:i/>
                <w:sz w:val="16"/>
              </w:rPr>
            </w:pPr>
            <w:r>
              <w:rPr>
                <w:rFonts w:cs="Arial" w:ascii="Arial" w:hAnsi="Arial"/>
                <w:i/>
                <w:sz w:val="16"/>
              </w:rPr>
              <w:t>Houston, Texas 77210-4428</w:t>
            </w:r>
          </w:p>
          <w:p>
            <w:pPr>
              <w:pStyle w:val="Normal"/>
              <w:ind w:start="5022" w:end="0"/>
              <w:rPr>
                <w:rFonts w:ascii="Arial" w:hAnsi="Arial" w:cs="Arial"/>
                <w:i/>
                <w:i/>
                <w:sz w:val="16"/>
              </w:rPr>
            </w:pP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Department-East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 Riverside Plz</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Columbus, OH 43215-2355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(614) 324-4596</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Firm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highlight w:val="yellow"/>
              </w:rPr>
            </w:pPr>
            <w:r>
              <w:rPr>
                <w:rFonts w:cs="Arial" w:ascii="Arial" w:hAnsi="Arial"/>
                <w:sz w:val="18"/>
              </w:rPr>
              <w:t>July 1, 2003 through August 31, 2003.  Hour Ending (HE) 0100 through HE 2400 (24 Hours each day), Monday through Sunday, including NERC Holidays; Eastern Prevailing Time.</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$65.50/MWh.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75 Mws of Firm energy per hour</w:t>
            </w:r>
            <w:r>
              <w:rPr>
                <w:sz w:val="18"/>
                <w:rFonts w:cs="Arial" w:ascii="Arial" w:hAnsi="Arial"/>
              </w:rPr>
              <w:fldChar w:fldCharType="end"/>
            </w:r>
            <w:r>
              <w:rPr>
                <w:rFonts w:eastAsia="Arial"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PJM-Western Hub</w:t>
            </w:r>
          </w:p>
        </w:tc>
      </w:tr>
    </w:tbl>
    <w:p>
      <w:pPr>
        <w:pStyle w:val="Normal"/>
        <w:jc w:val="both"/>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 xml:space="preserve">Daily pre-schedule by 12:00 p.m. EPT on the business day prior to delivery.  </w:t>
            </w:r>
            <w:r>
              <w:rPr>
                <w:sz w:val="18"/>
                <w:rFonts w:cs="Arial" w:ascii="Arial" w:hAnsi="Arial"/>
              </w:rPr>
              <w:fldChar w:fldCharType="end"/>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Buyer assumes all risks associated with transmission of the energy away from the PJM Western Hub.  Seller makes no representations that the energy can be moved out of the PJM Western Hub and shall have no liability if Buyer is unable to move the energy out of the PJM Western Hub.</w:t>
            </w:r>
          </w:p>
        </w:tc>
      </w:tr>
    </w:tbl>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Allegheny Energy Supply Company, LLC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keepNext w:val="true"/>
        <w:ind w:hanging="1440" w:start="1440" w:end="0"/>
        <w:jc w:val="both"/>
        <w:rPr>
          <w:rFonts w:ascii="Arial" w:hAnsi="Arial" w:cs="Arial"/>
          <w:sz w:val="18"/>
          <w:u w:val="single"/>
        </w:rPr>
      </w:pPr>
      <w:r>
        <w:rPr>
          <w:rFonts w:cs="Arial" w:ascii="Arial" w:hAnsi="Arial"/>
          <w:sz w:val="18"/>
          <w:u w:val="single"/>
        </w:rPr>
        <w:t>Damages for Non-Performance:</w:t>
      </w:r>
    </w:p>
    <w:p>
      <w:pPr>
        <w:pStyle w:val="Normal"/>
        <w:keepNext w:val="true"/>
        <w:ind w:hanging="1440" w:start="1440" w:end="0"/>
        <w:jc w:val="both"/>
        <w:rPr>
          <w:rFonts w:ascii="Arial" w:hAnsi="Arial" w:cs="Arial"/>
          <w:sz w:val="18"/>
          <w:u w:val="single"/>
        </w:rPr>
      </w:pPr>
      <w:r>
        <w:rPr>
          <w:rFonts w:cs="Arial" w:ascii="Arial" w:hAnsi="Arial"/>
          <w:sz w:val="18"/>
          <w:u w:val="single"/>
        </w:rPr>
      </w:r>
    </w:p>
    <w:p>
      <w:pPr>
        <w:pStyle w:val="Normal"/>
        <w:keepNext w:val="true"/>
        <w:tabs>
          <w:tab w:val="clear" w:pos="720"/>
          <w:tab w:val="left" w:pos="0" w:leader="none"/>
        </w:tabs>
        <w:jc w:val="both"/>
        <w:rPr/>
      </w:pPr>
      <w:r>
        <w:rPr>
          <w:rFonts w:cs="Arial" w:ascii="Arial" w:hAnsi="Arial"/>
          <w:sz w:val="18"/>
        </w:rPr>
        <w:t xml:space="preserve">(1) 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 (i) the price at which Buyer is able to purchase or otherwise receive such deficiency of power acting in a commercially reasonable manner (adjusted to reflect differences in transmission costs, if any)  minus (ii) the Price;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Normal"/>
        <w:jc w:val="both"/>
        <w:rPr/>
      </w:pPr>
      <w:r>
        <w:rPr>
          <w:rFonts w:cs="Arial" w:ascii="Arial" w:hAnsi="Arial"/>
          <w:sz w:val="18"/>
        </w:rPr>
        <w:t>(2) In the event Buyer fails to schedule and to receive the Quantity, where such failure was not excused by uncontrollable forces or by Seller’s failure to perform, Buyer</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(3) 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 xml:space="preserve">The terms “Force Majeure” and “Uncontrollable Forces” are used interchangeably in this confirmation letter.  </w:t>
      </w:r>
    </w:p>
    <w:p>
      <w:pPr>
        <w:pStyle w:val="Normal"/>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Power Sales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September 29, 1997</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t>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4"/>
      <w:footerReference w:type="default" r:id="rId5"/>
      <w:type w:val="nextPage"/>
      <w:pgSz w:w="11940" w:h="15840"/>
      <w:pgMar w:left="1170" w:right="109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r>
  </w:p>
  <w:p>
    <w:pPr>
      <w:pStyle w:val="Header"/>
      <w:tabs>
        <w:tab w:val="center" w:pos="4320" w:leader="none"/>
        <w:tab w:val="left" w:pos="7380" w:leader="none"/>
        <w:tab w:val="right" w:pos="8640" w:leader="none"/>
      </w:tabs>
      <w:ind w:start="6840" w:end="0"/>
      <w:rPr>
        <w:rStyle w:val="PageNumber"/>
        <w:rFonts w:ascii="Arial" w:hAnsi="Arial" w:cs="Arial"/>
        <w:sz w:val="22"/>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rPr>
  </w:style>
  <w:style w:type="paragraph" w:styleId="BodyTextIndent3">
    <w:name w:val="Body Text Indent 3"/>
    <w:basedOn w:val="Normal"/>
    <w:qFormat/>
    <w:pPr>
      <w:ind w:hanging="720" w:start="720" w:end="0"/>
      <w:jc w:val="both"/>
    </w:pPr>
    <w:rPr>
      <w:color w:val="000000"/>
      <w:sz w:val="24"/>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2001-11-04T20:20:00Z</dcterms:created>
  <dc:creator>EOL 2147829</dc:creator>
  <dc:description/>
  <dc:language>en-CA</dc:language>
  <cp:lastModifiedBy>tngo</cp:lastModifiedBy>
  <cp:lastPrinted>2001-11-01T15:38:00Z</cp:lastPrinted>
  <dcterms:modified xsi:type="dcterms:W3CDTF">2001-11-04T20:20:00Z</dcterms:modified>
  <cp:revision>2</cp:revision>
  <dc:subject/>
  <dc:title>853137.01</dc:title>
</cp:coreProperties>
</file>