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fldChar w:fldCharType="begin"/>
      </w:r>
      <w:r>
        <w:rPr>
          <w:sz w:val="18"/>
          <w:rFonts w:cs="Arial" w:ascii="Arial" w:hAnsi="Arial"/>
        </w:rPr>
        <w:instrText xml:space="preserve"> MERGEFIELD DateToday </w:instrText>
      </w:r>
      <w:r>
        <w:rPr>
          <w:sz w:val="18"/>
          <w:rFonts w:cs="Arial" w:ascii="Arial" w:hAnsi="Arial"/>
        </w:rPr>
        <w:fldChar w:fldCharType="separate"/>
      </w:r>
      <w:r>
        <w:rPr>
          <w:sz w:val="18"/>
          <w:rFonts w:cs="Arial" w:ascii="Arial" w:hAnsi="Arial"/>
        </w:rPr>
        <w:t>November 01, 2001</w:t>
      </w:r>
      <w:r>
        <w:rPr>
          <w:sz w:val="18"/>
          <w:rFonts w:cs="Arial" w:ascii="Arial" w:hAnsi="Arial"/>
        </w:rPr>
        <w:fldChar w:fldCharType="end"/>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fldChar w:fldCharType="begin"/>
      </w:r>
      <w:r>
        <w:rPr>
          <w:sz w:val="18"/>
          <w:rFonts w:cs="Arial" w:ascii="Arial" w:hAnsi="Arial"/>
        </w:rPr>
        <w:instrText xml:space="preserve"> MERGEFIELD CounterpartyContact </w:instrText>
      </w:r>
      <w:r>
        <w:rPr>
          <w:sz w:val="18"/>
          <w:rFonts w:cs="Arial" w:ascii="Arial" w:hAnsi="Arial"/>
        </w:rPr>
        <w:fldChar w:fldCharType="separate"/>
      </w:r>
      <w:r>
        <w:rPr>
          <w:sz w:val="18"/>
          <w:rFonts w:cs="Arial" w:ascii="Arial" w:hAnsi="Arial"/>
        </w:rPr>
        <w:t>Documentation Department-East</w:t>
      </w:r>
      <w:r>
        <w:rPr>
          <w:sz w:val="18"/>
          <w:rFonts w:cs="Arial" w:ascii="Arial" w:hAnsi="Arial"/>
        </w:rPr>
        <w:fldChar w:fldCharType="end"/>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fldChar w:fldCharType="begin"/>
      </w:r>
      <w:r>
        <w:rPr>
          <w:sz w:val="18"/>
          <w:rFonts w:cs="Arial" w:ascii="Arial" w:hAnsi="Arial"/>
        </w:rPr>
        <w:instrText xml:space="preserve"> MERGEFIELD CounterpartyName </w:instrText>
      </w:r>
      <w:r>
        <w:rPr>
          <w:sz w:val="18"/>
          <w:rFonts w:cs="Arial" w:ascii="Arial" w:hAnsi="Arial"/>
        </w:rPr>
        <w:fldChar w:fldCharType="separate"/>
      </w:r>
      <w:r>
        <w:rPr>
          <w:sz w:val="18"/>
          <w:rFonts w:cs="Arial" w:ascii="Arial" w:hAnsi="Arial"/>
        </w:rPr>
        <w:t>American Electric Power Service Corporation</w:t>
      </w:r>
      <w:r>
        <w:rPr>
          <w:sz w:val="18"/>
          <w:rFonts w:cs="Arial" w:ascii="Arial" w:hAnsi="Arial"/>
        </w:rPr>
        <w:fldChar w:fldCharType="end"/>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fldChar w:fldCharType="begin"/>
      </w:r>
      <w:r>
        <w:rPr>
          <w:sz w:val="18"/>
          <w:rFonts w:cs="Arial" w:ascii="Arial" w:hAnsi="Arial"/>
        </w:rPr>
        <w:instrText xml:space="preserve"> MERGEFIELD CounterpartyAddr1 </w:instrText>
      </w:r>
      <w:r>
        <w:rPr>
          <w:sz w:val="18"/>
          <w:rFonts w:cs="Arial" w:ascii="Arial" w:hAnsi="Arial"/>
        </w:rPr>
        <w:fldChar w:fldCharType="separate"/>
      </w:r>
      <w:r>
        <w:rPr>
          <w:sz w:val="18"/>
          <w:rFonts w:cs="Arial" w:ascii="Arial" w:hAnsi="Arial"/>
        </w:rPr>
        <w:t>1 Riverside Plz</w:t>
      </w:r>
      <w:r>
        <w:rPr>
          <w:sz w:val="18"/>
          <w:rFonts w:cs="Arial" w:ascii="Arial" w:hAnsi="Arial"/>
        </w:rPr>
        <w:fldChar w:fldCharType="end"/>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fldChar w:fldCharType="begin"/>
      </w:r>
      <w:r>
        <w:rPr>
          <w:sz w:val="18"/>
          <w:rFonts w:cs="Arial" w:ascii="Arial" w:hAnsi="Arial"/>
        </w:rPr>
        <w:instrText xml:space="preserve"> MERGEFIELD CounterpartyAddr2 </w:instrText>
      </w:r>
      <w:r>
        <w:rPr>
          <w:sz w:val="18"/>
          <w:rFonts w:cs="Arial" w:ascii="Arial" w:hAnsi="Arial"/>
        </w:rPr>
        <w:fldChar w:fldCharType="separate"/>
      </w:r>
      <w:r>
        <w:rPr>
          <w:sz w:val="18"/>
          <w:rFonts w:cs="Arial" w:ascii="Arial" w:hAnsi="Arial"/>
        </w:rPr>
        <w:t>Columbus, OH 43215-2355</w:t>
      </w:r>
      <w:r>
        <w:rPr>
          <w:sz w:val="18"/>
          <w:rFonts w:cs="Arial" w:ascii="Arial" w:hAnsi="Arial"/>
        </w:rPr>
        <w:fldChar w:fldCharType="end"/>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fldChar w:fldCharType="begin"/>
      </w:r>
      <w:r>
        <w:rPr>
          <w:sz w:val="18"/>
          <w:rFonts w:cs="Arial" w:ascii="Arial" w:hAnsi="Arial"/>
        </w:rPr>
        <w:instrText xml:space="preserve"> MERGEFIELD CounterpartyAddrCity </w:instrText>
      </w:r>
      <w:r>
        <w:rPr>
          <w:sz w:val="18"/>
          <w:rFonts w:cs="Arial" w:ascii="Arial" w:hAnsi="Arial"/>
        </w:rPr>
        <w:fldChar w:fldCharType="separate"/>
      </w:r>
      <w:r>
        <w:rPr>
          <w:sz w:val="18"/>
          <w:rFonts w:cs="Arial" w:ascii="Arial" w:hAnsi="Arial"/>
        </w:rPr>
      </w:r>
      <w:r>
        <w:rPr>
          <w:sz w:val="18"/>
          <w:rFonts w:cs="Arial" w:ascii="Arial" w:hAnsi="Arial"/>
        </w:rPr>
        <w:fldChar w:fldCharType="end"/>
      </w:r>
      <w:r>
        <w:rPr>
          <w:rFonts w:cs="Arial" w:ascii="Arial" w:hAnsi="Arial"/>
          <w:sz w:val="18"/>
        </w:rPr>
        <w:fldChar w:fldCharType="begin"/>
      </w:r>
      <w:r>
        <w:rPr>
          <w:sz w:val="18"/>
          <w:rFonts w:cs="Arial" w:ascii="Arial" w:hAnsi="Arial"/>
        </w:rPr>
        <w:instrText xml:space="preserve"> MERGEFIELD CounterpartyAddrState </w:instrText>
      </w:r>
      <w:r>
        <w:rPr>
          <w:sz w:val="18"/>
          <w:rFonts w:cs="Arial" w:ascii="Arial" w:hAnsi="Arial"/>
        </w:rPr>
        <w:fldChar w:fldCharType="separate"/>
      </w:r>
      <w:r>
        <w:rPr>
          <w:sz w:val="18"/>
          <w:rFonts w:cs="Arial" w:ascii="Arial" w:hAnsi="Arial"/>
        </w:rPr>
      </w:r>
      <w:r>
        <w:rPr>
          <w:sz w:val="18"/>
          <w:rFonts w:cs="Arial" w:ascii="Arial" w:hAnsi="Arial"/>
        </w:rPr>
        <w:fldChar w:fldCharType="end"/>
      </w:r>
      <w:r>
        <w:rPr>
          <w:rFonts w:cs="Arial" w:ascii="Arial" w:hAnsi="Arial"/>
          <w:sz w:val="18"/>
        </w:rPr>
        <w:fldChar w:fldCharType="begin"/>
      </w:r>
      <w:r>
        <w:rPr>
          <w:sz w:val="18"/>
          <w:rFonts w:cs="Arial" w:ascii="Arial" w:hAnsi="Arial"/>
        </w:rPr>
        <w:instrText xml:space="preserve"> MERGEFIELD CounterpartyAddrZip </w:instrText>
      </w:r>
      <w:r>
        <w:rPr>
          <w:sz w:val="18"/>
          <w:rFonts w:cs="Arial" w:ascii="Arial" w:hAnsi="Arial"/>
        </w:rPr>
        <w:fldChar w:fldCharType="separate"/>
      </w:r>
      <w:r>
        <w:rPr>
          <w:sz w:val="18"/>
          <w:rFonts w:cs="Arial" w:ascii="Arial" w:hAnsi="Arial"/>
        </w:rPr>
      </w:r>
      <w:r>
        <w:rPr>
          <w:sz w:val="18"/>
          <w:rFonts w:cs="Arial" w:ascii="Arial" w:hAnsi="Arial"/>
        </w:rPr>
        <w:fldChar w:fldCharType="end"/>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 xml:space="preserve">Fax No. </w:t>
      </w:r>
      <w:r>
        <w:rPr>
          <w:rFonts w:cs="Arial" w:ascii="Arial" w:hAnsi="Arial"/>
          <w:sz w:val="18"/>
        </w:rPr>
        <w:fldChar w:fldCharType="begin"/>
      </w:r>
      <w:r>
        <w:rPr>
          <w:sz w:val="18"/>
          <w:rFonts w:cs="Arial" w:ascii="Arial" w:hAnsi="Arial"/>
        </w:rPr>
        <w:instrText xml:space="preserve"> MERGEFIELD CounterpartyFax </w:instrText>
      </w:r>
      <w:r>
        <w:rPr>
          <w:sz w:val="18"/>
          <w:rFonts w:cs="Arial" w:ascii="Arial" w:hAnsi="Arial"/>
        </w:rPr>
        <w:fldChar w:fldCharType="separate"/>
      </w:r>
      <w:r>
        <w:rPr>
          <w:sz w:val="18"/>
          <w:rFonts w:cs="Arial" w:ascii="Arial" w:hAnsi="Arial"/>
        </w:rPr>
        <w:t>(614) 324-4596</w:t>
      </w:r>
      <w:r>
        <w:rPr>
          <w:sz w:val="18"/>
          <w:rFonts w:cs="Arial" w:ascii="Arial" w:hAnsi="Arial"/>
        </w:rPr>
        <w:fldChar w:fldCharType="end"/>
      </w:r>
    </w:p>
    <w:p>
      <w:pPr>
        <w:pStyle w:val="Normal"/>
        <w:tabs>
          <w:tab w:val="left" w:pos="720" w:leader="none"/>
          <w:tab w:val="left" w:pos="1440" w:leader="none"/>
          <w:tab w:val="left" w:pos="2160" w:leader="none"/>
          <w:tab w:val="left" w:pos="5040" w:leader="none"/>
          <w:tab w:val="left" w:pos="5760" w:leader="none"/>
          <w:tab w:val="left" w:pos="6480" w:leader="none"/>
        </w:tabs>
        <w:jc w:val="center"/>
        <w:rPr>
          <w:rFonts w:ascii="Arial" w:hAnsi="Arial" w:cs="Arial"/>
          <w:sz w:val="18"/>
        </w:rPr>
      </w:pPr>
      <w:r>
        <w:rPr>
          <w:rFonts w:cs="Arial" w:ascii="Arial" w:hAnsi="Arial"/>
          <w:sz w:val="18"/>
        </w:rPr>
      </w:r>
    </w:p>
    <w:p>
      <w:pPr>
        <w:pStyle w:val="Normal"/>
        <w:tabs>
          <w:tab w:val="left" w:pos="720" w:leader="none"/>
          <w:tab w:val="left" w:pos="1440" w:leader="none"/>
          <w:tab w:val="left" w:pos="2160" w:leader="none"/>
          <w:tab w:val="left" w:pos="5040" w:leader="none"/>
          <w:tab w:val="left" w:pos="5760" w:leader="none"/>
          <w:tab w:val="left" w:pos="6480" w:leader="none"/>
        </w:tabs>
        <w:jc w:val="center"/>
        <w:rPr>
          <w:rFonts w:ascii="Arial" w:hAnsi="Arial" w:cs="Arial"/>
          <w:sz w:val="18"/>
        </w:rPr>
      </w:pPr>
      <w:r>
        <w:rPr>
          <w:rFonts w:cs="Arial" w:ascii="Arial" w:hAnsi="Arial"/>
          <w:sz w:val="18"/>
        </w:rPr>
        <w:t>CONFIRMATION LETTER</w:t>
      </w:r>
    </w:p>
    <w:p>
      <w:pPr>
        <w:pStyle w:val="Normal"/>
        <w:tabs>
          <w:tab w:val="left" w:pos="720" w:leader="none"/>
          <w:tab w:val="left" w:pos="1440" w:leader="none"/>
          <w:tab w:val="left" w:pos="2160" w:leader="none"/>
          <w:tab w:val="left" w:pos="5040" w:leader="none"/>
          <w:tab w:val="left" w:pos="5760" w:leader="none"/>
          <w:tab w:val="left" w:pos="6480" w:leader="none"/>
        </w:tabs>
        <w:jc w:val="center"/>
        <w:rPr>
          <w:rFonts w:ascii="Arial" w:hAnsi="Arial" w:cs="Arial"/>
          <w:sz w:val="18"/>
        </w:rPr>
      </w:pPr>
      <w:r>
        <w:rPr>
          <w:rFonts w:cs="Arial" w:ascii="Arial" w:hAnsi="Arial"/>
          <w:sz w:val="18"/>
        </w:rPr>
      </w:r>
    </w:p>
    <w:p>
      <w:pPr>
        <w:pStyle w:val="Normal"/>
        <w:tabs>
          <w:tab w:val="left" w:pos="720" w:leader="none"/>
          <w:tab w:val="left" w:pos="1440" w:leader="none"/>
          <w:tab w:val="left" w:pos="2160" w:leader="none"/>
          <w:tab w:val="left" w:pos="5040" w:leader="none"/>
          <w:tab w:val="left" w:pos="5760" w:leader="none"/>
          <w:tab w:val="left" w:pos="6480" w:leader="none"/>
        </w:tabs>
        <w:jc w:val="both"/>
        <w:rPr/>
      </w:pPr>
      <w:r>
        <w:rPr>
          <w:rFonts w:cs="Arial" w:ascii="Arial" w:hAnsi="Arial"/>
          <w:sz w:val="18"/>
        </w:rPr>
        <w:t xml:space="preserve">This letter shall confirm the agreement reached on </w:t>
      </w:r>
      <w:r>
        <w:rPr>
          <w:rFonts w:cs="Arial" w:ascii="Arial" w:hAnsi="Arial"/>
          <w:sz w:val="18"/>
        </w:rPr>
        <w:fldChar w:fldCharType="begin"/>
      </w:r>
      <w:r>
        <w:rPr>
          <w:sz w:val="18"/>
          <w:rFonts w:cs="Arial" w:ascii="Arial" w:hAnsi="Arial"/>
        </w:rPr>
        <w:instrText xml:space="preserve"> MERGEFIELD DealDate </w:instrText>
      </w:r>
      <w:r>
        <w:rPr>
          <w:sz w:val="18"/>
          <w:rFonts w:cs="Arial" w:ascii="Arial" w:hAnsi="Arial"/>
        </w:rPr>
        <w:fldChar w:fldCharType="separate"/>
      </w:r>
      <w:r>
        <w:rPr>
          <w:sz w:val="18"/>
          <w:rFonts w:cs="Arial" w:ascii="Arial" w:hAnsi="Arial"/>
        </w:rPr>
        <w:t>November 1, 2001</w:t>
      </w:r>
      <w:r>
        <w:rPr>
          <w:sz w:val="18"/>
          <w:rFonts w:cs="Arial" w:ascii="Arial" w:hAnsi="Arial"/>
        </w:rPr>
        <w:fldChar w:fldCharType="end"/>
      </w:r>
      <w:r>
        <w:rPr>
          <w:rFonts w:cs="Arial" w:ascii="Arial" w:hAnsi="Arial"/>
          <w:sz w:val="18"/>
        </w:rPr>
        <w:t xml:space="preserve"> between </w:t>
      </w:r>
      <w:r>
        <w:rPr>
          <w:rFonts w:cs="Arial" w:ascii="Arial" w:hAnsi="Arial"/>
          <w:sz w:val="18"/>
        </w:rPr>
        <w:fldChar w:fldCharType="begin"/>
      </w:r>
      <w:r>
        <w:rPr>
          <w:sz w:val="18"/>
          <w:rFonts w:cs="Arial" w:ascii="Arial" w:hAnsi="Arial"/>
        </w:rPr>
        <w:instrText xml:space="preserve"> MERGEFIELD CounterpartyName </w:instrText>
      </w:r>
      <w:r>
        <w:rPr>
          <w:sz w:val="18"/>
          <w:rFonts w:cs="Arial" w:ascii="Arial" w:hAnsi="Arial"/>
        </w:rPr>
        <w:fldChar w:fldCharType="separate"/>
      </w:r>
      <w:r>
        <w:rPr>
          <w:sz w:val="18"/>
          <w:rFonts w:cs="Arial" w:ascii="Arial" w:hAnsi="Arial"/>
        </w:rPr>
        <w:t>American Electric Power Service Corporation</w:t>
      </w:r>
      <w:r>
        <w:rPr>
          <w:sz w:val="18"/>
          <w:rFonts w:cs="Arial" w:ascii="Arial" w:hAnsi="Arial"/>
        </w:rPr>
        <w:fldChar w:fldCharType="end"/>
      </w:r>
      <w:r>
        <w:rPr>
          <w:rFonts w:cs="Arial" w:ascii="Arial" w:hAnsi="Arial"/>
          <w:sz w:val="18"/>
        </w:rPr>
        <w:t xml:space="preserve"> and </w:t>
      </w:r>
      <w:r>
        <w:rPr>
          <w:rFonts w:cs="Arial" w:ascii="Arial" w:hAnsi="Arial"/>
          <w:sz w:val="18"/>
        </w:rPr>
        <w:fldChar w:fldCharType="begin"/>
      </w:r>
      <w:r>
        <w:rPr>
          <w:sz w:val="18"/>
          <w:rFonts w:cs="Arial" w:ascii="Arial" w:hAnsi="Arial"/>
        </w:rPr>
        <w:instrText xml:space="preserve"> MERGEFIELD EnronEntityNameCode </w:instrText>
      </w:r>
      <w:r>
        <w:rPr>
          <w:sz w:val="18"/>
          <w:rFonts w:cs="Arial" w:ascii="Arial" w:hAnsi="Arial"/>
        </w:rPr>
        <w:fldChar w:fldCharType="separate"/>
      </w:r>
      <w:r>
        <w:rPr>
          <w:sz w:val="18"/>
          <w:rFonts w:cs="Arial" w:ascii="Arial" w:hAnsi="Arial"/>
        </w:rPr>
        <w:t xml:space="preserve">Allegheny Energy Supply Company, LLC </w:t>
      </w:r>
      <w:r>
        <w:rPr>
          <w:sz w:val="18"/>
          <w:rFonts w:cs="Arial" w:ascii="Arial" w:hAnsi="Arial"/>
        </w:rPr>
        <w:fldChar w:fldCharType="end"/>
      </w:r>
      <w:r>
        <w:rPr>
          <w:rFonts w:cs="Arial" w:ascii="Arial" w:hAnsi="Arial"/>
          <w:sz w:val="18"/>
        </w:rPr>
        <w:t xml:space="preserve">regarding the sale of </w:t>
      </w:r>
      <w:r>
        <w:rPr>
          <w:rFonts w:cs="Arial" w:ascii="Arial" w:hAnsi="Arial"/>
          <w:sz w:val="18"/>
        </w:rPr>
        <w:fldChar w:fldCharType="begin"/>
      </w:r>
      <w:r>
        <w:rPr>
          <w:sz w:val="18"/>
          <w:rFonts w:cs="Arial" w:ascii="Arial" w:hAnsi="Arial"/>
        </w:rPr>
        <w:instrText xml:space="preserve"> MERGEFIELD Service </w:instrText>
      </w:r>
      <w:r>
        <w:rPr>
          <w:sz w:val="18"/>
          <w:rFonts w:cs="Arial" w:ascii="Arial" w:hAnsi="Arial"/>
        </w:rPr>
        <w:fldChar w:fldCharType="separate"/>
      </w:r>
      <w:r>
        <w:rPr>
          <w:sz w:val="18"/>
          <w:rFonts w:cs="Arial" w:ascii="Arial" w:hAnsi="Arial"/>
        </w:rPr>
        <w:t>Firm energy</w:t>
      </w:r>
      <w:r>
        <w:rPr>
          <w:sz w:val="18"/>
          <w:rFonts w:cs="Arial" w:ascii="Arial" w:hAnsi="Arial"/>
        </w:rPr>
        <w:fldChar w:fldCharType="end"/>
      </w:r>
      <w:r>
        <w:rPr>
          <w:rFonts w:cs="Arial" w:ascii="Arial" w:hAnsi="Arial"/>
          <w:sz w:val="18"/>
        </w:rPr>
        <w:t xml:space="preserve"> under the terms and conditions that follow:</w:t>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r>
    </w:p>
    <w:tbl>
      <w:tblPr>
        <w:tblW w:w="9576" w:type="dxa"/>
        <w:jc w:val="start"/>
        <w:tblInd w:w="0" w:type="dxa"/>
        <w:tblLayout w:type="fixed"/>
        <w:tblCellMar>
          <w:top w:w="0" w:type="dxa"/>
          <w:start w:w="108" w:type="dxa"/>
          <w:bottom w:w="0" w:type="dxa"/>
          <w:end w:w="108" w:type="dxa"/>
        </w:tblCellMar>
      </w:tblPr>
      <w:tblGrid>
        <w:gridCol w:w="1548"/>
        <w:gridCol w:w="8028"/>
      </w:tblGrid>
      <w:tr>
        <w:trPr/>
        <w:tc>
          <w:tcPr>
            <w:tcW w:w="154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Seller:</w:t>
            </w:r>
          </w:p>
        </w:tc>
        <w:tc>
          <w:tcPr>
            <w:tcW w:w="802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American Electric Power Service Corporation</w:t>
            </w:r>
          </w:p>
        </w:tc>
      </w:tr>
    </w:tbl>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r>
    </w:p>
    <w:tbl>
      <w:tblPr>
        <w:tblW w:w="9576" w:type="dxa"/>
        <w:jc w:val="start"/>
        <w:tblInd w:w="0" w:type="dxa"/>
        <w:tblLayout w:type="fixed"/>
        <w:tblCellMar>
          <w:top w:w="0" w:type="dxa"/>
          <w:start w:w="108" w:type="dxa"/>
          <w:bottom w:w="0" w:type="dxa"/>
          <w:end w:w="108" w:type="dxa"/>
        </w:tblCellMar>
      </w:tblPr>
      <w:tblGrid>
        <w:gridCol w:w="1548"/>
        <w:gridCol w:w="8028"/>
      </w:tblGrid>
      <w:tr>
        <w:trPr/>
        <w:tc>
          <w:tcPr>
            <w:tcW w:w="154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Buyer:</w:t>
            </w:r>
          </w:p>
        </w:tc>
        <w:tc>
          <w:tcPr>
            <w:tcW w:w="802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Allegheny Energy Supply Company, LLC</w:t>
            </w:r>
          </w:p>
        </w:tc>
      </w:tr>
      <w:tr>
        <w:trPr/>
        <w:tc>
          <w:tcPr>
            <w:tcW w:w="1548" w:type="dxa"/>
            <w:tcBorders/>
          </w:tcPr>
          <w:p>
            <w:pPr>
              <w:pStyle w:val="Normal"/>
              <w:tabs>
                <w:tab w:val="left" w:pos="720" w:leader="none"/>
                <w:tab w:val="left" w:pos="1440" w:leader="none"/>
                <w:tab w:val="left" w:pos="2160" w:leader="none"/>
                <w:tab w:val="left" w:pos="5040" w:leader="none"/>
                <w:tab w:val="left" w:pos="5760" w:leader="none"/>
                <w:tab w:val="left" w:pos="6480" w:leader="none"/>
              </w:tabs>
              <w:snapToGrid w:val="false"/>
              <w:jc w:val="both"/>
              <w:rPr>
                <w:rFonts w:ascii="Arial" w:hAnsi="Arial" w:cs="Arial"/>
                <w:sz w:val="18"/>
              </w:rPr>
            </w:pPr>
            <w:r>
              <w:rPr>
                <w:rFonts w:cs="Arial" w:ascii="Arial" w:hAnsi="Arial"/>
                <w:sz w:val="18"/>
              </w:rPr>
            </w:r>
          </w:p>
        </w:tc>
        <w:tc>
          <w:tcPr>
            <w:tcW w:w="8028" w:type="dxa"/>
            <w:tcBorders/>
          </w:tcPr>
          <w:p>
            <w:pPr>
              <w:pStyle w:val="Normal"/>
              <w:tabs>
                <w:tab w:val="left" w:pos="720" w:leader="none"/>
                <w:tab w:val="left" w:pos="1440" w:leader="none"/>
                <w:tab w:val="left" w:pos="2160" w:leader="none"/>
                <w:tab w:val="left" w:pos="5040" w:leader="none"/>
                <w:tab w:val="left" w:pos="5760" w:leader="none"/>
                <w:tab w:val="left" w:pos="6480" w:leader="none"/>
              </w:tabs>
              <w:snapToGrid w:val="false"/>
              <w:jc w:val="both"/>
              <w:rPr>
                <w:rFonts w:ascii="Arial" w:hAnsi="Arial" w:cs="Arial"/>
                <w:sz w:val="18"/>
              </w:rPr>
            </w:pPr>
            <w:r>
              <w:rPr>
                <w:rFonts w:cs="Arial" w:ascii="Arial" w:hAnsi="Arial"/>
                <w:sz w:val="18"/>
              </w:rPr>
            </w:r>
          </w:p>
        </w:tc>
      </w:tr>
      <w:tr>
        <w:trPr/>
        <w:tc>
          <w:tcPr>
            <w:tcW w:w="154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Product:</w:t>
            </w:r>
          </w:p>
        </w:tc>
        <w:tc>
          <w:tcPr>
            <w:tcW w:w="802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fldChar w:fldCharType="begin"/>
            </w:r>
            <w:r>
              <w:rPr>
                <w:sz w:val="18"/>
                <w:rFonts w:cs="Arial" w:ascii="Arial" w:hAnsi="Arial"/>
              </w:rPr>
              <w:instrText xml:space="preserve"> MERGEFIELD ProductDesc </w:instrText>
            </w:r>
            <w:r>
              <w:rPr>
                <w:sz w:val="18"/>
                <w:rFonts w:cs="Arial" w:ascii="Arial" w:hAnsi="Arial"/>
              </w:rPr>
              <w:fldChar w:fldCharType="separate"/>
            </w:r>
            <w:r>
              <w:rPr>
                <w:sz w:val="18"/>
                <w:rFonts w:cs="Arial" w:ascii="Arial" w:hAnsi="Arial"/>
              </w:rPr>
              <w:t>Into Cinergy, Seller’s Daily Choice</w:t>
            </w:r>
            <w:r>
              <w:rPr>
                <w:sz w:val="18"/>
                <w:rFonts w:cs="Arial" w:ascii="Arial" w:hAnsi="Arial"/>
              </w:rPr>
              <w:fldChar w:fldCharType="end"/>
            </w:r>
          </w:p>
        </w:tc>
      </w:tr>
    </w:tbl>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r>
    </w:p>
    <w:tbl>
      <w:tblPr>
        <w:tblW w:w="9576" w:type="dxa"/>
        <w:jc w:val="start"/>
        <w:tblInd w:w="0" w:type="dxa"/>
        <w:tblLayout w:type="fixed"/>
        <w:tblCellMar>
          <w:top w:w="0" w:type="dxa"/>
          <w:start w:w="108" w:type="dxa"/>
          <w:bottom w:w="0" w:type="dxa"/>
          <w:end w:w="108" w:type="dxa"/>
        </w:tblCellMar>
      </w:tblPr>
      <w:tblGrid>
        <w:gridCol w:w="1548"/>
        <w:gridCol w:w="8028"/>
      </w:tblGrid>
      <w:tr>
        <w:trPr/>
        <w:tc>
          <w:tcPr>
            <w:tcW w:w="154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Term:</w:t>
            </w:r>
          </w:p>
        </w:tc>
        <w:tc>
          <w:tcPr>
            <w:tcW w:w="802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highlight w:val="yellow"/>
              </w:rPr>
            </w:pPr>
            <w:r>
              <w:rPr>
                <w:rFonts w:cs="Arial" w:ascii="Arial" w:hAnsi="Arial"/>
                <w:sz w:val="18"/>
              </w:rPr>
              <w:fldChar w:fldCharType="begin"/>
            </w:r>
            <w:r>
              <w:rPr>
                <w:sz w:val="18"/>
                <w:rFonts w:cs="Arial" w:ascii="Arial" w:hAnsi="Arial"/>
              </w:rPr>
              <w:instrText xml:space="preserve"> MERGEFIELD Term </w:instrText>
            </w:r>
            <w:r>
              <w:rPr>
                <w:sz w:val="18"/>
                <w:rFonts w:cs="Arial" w:ascii="Arial" w:hAnsi="Arial"/>
              </w:rPr>
              <w:fldChar w:fldCharType="separate"/>
            </w:r>
            <w:r>
              <w:rPr>
                <w:sz w:val="18"/>
                <w:rFonts w:cs="Arial" w:ascii="Arial" w:hAnsi="Arial"/>
              </w:rPr>
              <w:t xml:space="preserve">March 1, 2002 through June 30, 2002. </w:t>
              <w:t xml:space="preserve">Hour Ending (HE) 0100 through HE 2400 (24 Hours each day), </w:t>
              <w:t xml:space="preserve">Monday through Sunday, including NERC Holidays; </w:t>
              <w:t xml:space="preserve">Central Prevailing Time. </w:t>
            </w:r>
            <w:r>
              <w:rPr>
                <w:sz w:val="18"/>
                <w:rFonts w:cs="Arial" w:ascii="Arial" w:hAnsi="Arial"/>
              </w:rPr>
              <w:fldChar w:fldCharType="end"/>
            </w:r>
          </w:p>
        </w:tc>
      </w:tr>
    </w:tbl>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r>
    </w:p>
    <w:tbl>
      <w:tblPr>
        <w:tblW w:w="9576" w:type="dxa"/>
        <w:jc w:val="start"/>
        <w:tblInd w:w="0" w:type="dxa"/>
        <w:tblLayout w:type="fixed"/>
        <w:tblCellMar>
          <w:top w:w="0" w:type="dxa"/>
          <w:start w:w="108" w:type="dxa"/>
          <w:bottom w:w="0" w:type="dxa"/>
          <w:end w:w="108" w:type="dxa"/>
        </w:tblCellMar>
      </w:tblPr>
      <w:tblGrid>
        <w:gridCol w:w="1548"/>
        <w:gridCol w:w="8028"/>
      </w:tblGrid>
      <w:tr>
        <w:trPr/>
        <w:tc>
          <w:tcPr>
            <w:tcW w:w="154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Price:</w:t>
            </w:r>
          </w:p>
        </w:tc>
        <w:tc>
          <w:tcPr>
            <w:tcW w:w="802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fldChar w:fldCharType="begin"/>
            </w:r>
            <w:r>
              <w:rPr>
                <w:sz w:val="18"/>
                <w:rFonts w:cs="Arial" w:ascii="Arial" w:hAnsi="Arial"/>
              </w:rPr>
              <w:instrText xml:space="preserve"> MERGEFIELD Price </w:instrText>
            </w:r>
            <w:r>
              <w:rPr>
                <w:sz w:val="18"/>
                <w:rFonts w:cs="Arial" w:ascii="Arial" w:hAnsi="Arial"/>
              </w:rPr>
              <w:fldChar w:fldCharType="separate"/>
            </w:r>
            <w:r>
              <w:rPr>
                <w:sz w:val="18"/>
                <w:rFonts w:cs="Arial" w:ascii="Arial" w:hAnsi="Arial"/>
              </w:rPr>
              <w:t>US Dollars $100.00/MWh.</w:t>
            </w:r>
            <w:r>
              <w:rPr>
                <w:sz w:val="18"/>
                <w:rFonts w:cs="Arial" w:ascii="Arial" w:hAnsi="Arial"/>
              </w:rPr>
              <w:fldChar w:fldCharType="end"/>
            </w:r>
          </w:p>
        </w:tc>
      </w:tr>
    </w:tbl>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r>
    </w:p>
    <w:tbl>
      <w:tblPr>
        <w:tblW w:w="9576" w:type="dxa"/>
        <w:jc w:val="start"/>
        <w:tblInd w:w="0" w:type="dxa"/>
        <w:tblLayout w:type="fixed"/>
        <w:tblCellMar>
          <w:top w:w="0" w:type="dxa"/>
          <w:start w:w="108" w:type="dxa"/>
          <w:bottom w:w="0" w:type="dxa"/>
          <w:end w:w="108" w:type="dxa"/>
        </w:tblCellMar>
      </w:tblPr>
      <w:tblGrid>
        <w:gridCol w:w="1548"/>
        <w:gridCol w:w="8028"/>
      </w:tblGrid>
      <w:tr>
        <w:trPr/>
        <w:tc>
          <w:tcPr>
            <w:tcW w:w="154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Quantity:</w:t>
            </w:r>
          </w:p>
        </w:tc>
        <w:tc>
          <w:tcPr>
            <w:tcW w:w="802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pPr>
            <w:r>
              <w:rPr>
                <w:rFonts w:cs="Arial" w:ascii="Arial" w:hAnsi="Arial"/>
                <w:sz w:val="18"/>
              </w:rPr>
              <w:fldChar w:fldCharType="begin"/>
            </w:r>
            <w:r>
              <w:rPr>
                <w:sz w:val="18"/>
                <w:rFonts w:cs="Arial" w:ascii="Arial" w:hAnsi="Arial"/>
              </w:rPr>
              <w:instrText xml:space="preserve"> MERGEFIELD Quantity </w:instrText>
            </w:r>
            <w:r>
              <w:rPr>
                <w:sz w:val="18"/>
                <w:rFonts w:cs="Arial" w:ascii="Arial" w:hAnsi="Arial"/>
              </w:rPr>
              <w:fldChar w:fldCharType="separate"/>
            </w:r>
            <w:r>
              <w:rPr>
                <w:sz w:val="18"/>
                <w:rFonts w:cs="Arial" w:ascii="Arial" w:hAnsi="Arial"/>
              </w:rPr>
              <w:t>25 Mws of Firm energy per hour</w:t>
            </w:r>
            <w:r>
              <w:rPr>
                <w:sz w:val="18"/>
                <w:rFonts w:cs="Arial" w:ascii="Arial" w:hAnsi="Arial"/>
              </w:rPr>
              <w:fldChar w:fldCharType="end"/>
            </w:r>
            <w:r>
              <w:rPr>
                <w:rFonts w:eastAsia="Arial" w:cs="Arial" w:ascii="Arial" w:hAnsi="Arial"/>
                <w:sz w:val="18"/>
              </w:rPr>
              <w:t xml:space="preserve">          </w:t>
            </w:r>
          </w:p>
        </w:tc>
      </w:tr>
    </w:tbl>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r>
    </w:p>
    <w:tbl>
      <w:tblPr>
        <w:tblW w:w="9576" w:type="dxa"/>
        <w:jc w:val="start"/>
        <w:tblInd w:w="0" w:type="dxa"/>
        <w:tblLayout w:type="fixed"/>
        <w:tblCellMar>
          <w:top w:w="0" w:type="dxa"/>
          <w:start w:w="108" w:type="dxa"/>
          <w:bottom w:w="0" w:type="dxa"/>
          <w:end w:w="108" w:type="dxa"/>
        </w:tblCellMar>
      </w:tblPr>
      <w:tblGrid>
        <w:gridCol w:w="1548"/>
        <w:gridCol w:w="8028"/>
      </w:tblGrid>
      <w:tr>
        <w:trPr/>
        <w:tc>
          <w:tcPr>
            <w:tcW w:w="154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Delivery Point:</w:t>
            </w:r>
          </w:p>
        </w:tc>
        <w:tc>
          <w:tcPr>
            <w:tcW w:w="802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fldChar w:fldCharType="begin"/>
            </w:r>
            <w:r>
              <w:rPr>
                <w:sz w:val="18"/>
                <w:rFonts w:cs="Arial" w:ascii="Arial" w:hAnsi="Arial"/>
              </w:rPr>
              <w:instrText xml:space="preserve"> MERGEFIELD DeliveryPoint </w:instrText>
            </w:r>
            <w:r>
              <w:rPr>
                <w:sz w:val="18"/>
                <w:rFonts w:cs="Arial" w:ascii="Arial" w:hAnsi="Arial"/>
              </w:rPr>
              <w:fldChar w:fldCharType="separate"/>
            </w:r>
            <w:r>
              <w:rPr>
                <w:sz w:val="18"/>
                <w:rFonts w:cs="Arial" w:ascii="Arial" w:hAnsi="Arial"/>
              </w:rPr>
              <w:t>Into CINERGY System</w:t>
            </w:r>
            <w:r>
              <w:rPr>
                <w:sz w:val="18"/>
                <w:rFonts w:cs="Arial" w:ascii="Arial" w:hAnsi="Arial"/>
              </w:rPr>
              <w:fldChar w:fldCharType="end"/>
            </w:r>
          </w:p>
        </w:tc>
      </w:tr>
    </w:tbl>
    <w:p>
      <w:pPr>
        <w:pStyle w:val="Normal"/>
        <w:jc w:val="both"/>
        <w:rPr>
          <w:rFonts w:ascii="Arial" w:hAnsi="Arial" w:cs="Arial"/>
          <w:sz w:val="18"/>
        </w:rPr>
      </w:pPr>
      <w:r>
        <w:rPr>
          <w:rFonts w:cs="Arial" w:ascii="Arial" w:hAnsi="Arial"/>
          <w:sz w:val="18"/>
        </w:rPr>
      </w:r>
    </w:p>
    <w:tbl>
      <w:tblPr>
        <w:tblW w:w="9828" w:type="dxa"/>
        <w:jc w:val="start"/>
        <w:tblInd w:w="0" w:type="dxa"/>
        <w:tblLayout w:type="fixed"/>
        <w:tblCellMar>
          <w:top w:w="0" w:type="dxa"/>
          <w:start w:w="108" w:type="dxa"/>
          <w:bottom w:w="0" w:type="dxa"/>
          <w:end w:w="108" w:type="dxa"/>
        </w:tblCellMar>
      </w:tblPr>
      <w:tblGrid>
        <w:gridCol w:w="1548"/>
        <w:gridCol w:w="8280"/>
      </w:tblGrid>
      <w:tr>
        <w:trPr/>
        <w:tc>
          <w:tcPr>
            <w:tcW w:w="1548" w:type="dxa"/>
            <w:tcBorders/>
          </w:tcPr>
          <w:p>
            <w:pPr>
              <w:pStyle w:val="Normal"/>
              <w:jc w:val="both"/>
              <w:rPr>
                <w:rFonts w:ascii="Arial" w:hAnsi="Arial" w:cs="Arial"/>
                <w:sz w:val="18"/>
              </w:rPr>
            </w:pPr>
            <w:r>
              <w:rPr>
                <w:rFonts w:cs="Arial" w:ascii="Arial" w:hAnsi="Arial"/>
                <w:sz w:val="18"/>
              </w:rPr>
              <w:t>Scheduling:</w:t>
            </w:r>
          </w:p>
        </w:tc>
        <w:tc>
          <w:tcPr>
            <w:tcW w:w="8280" w:type="dxa"/>
            <w:tcBorders/>
          </w:tcPr>
          <w:p>
            <w:pPr>
              <w:pStyle w:val="Normal"/>
              <w:jc w:val="both"/>
              <w:rPr>
                <w:rFonts w:ascii="Arial" w:hAnsi="Arial" w:cs="Arial"/>
                <w:sz w:val="18"/>
              </w:rPr>
            </w:pPr>
            <w:r>
              <w:rPr>
                <w:rFonts w:cs="Arial" w:ascii="Arial" w:hAnsi="Arial"/>
                <w:sz w:val="18"/>
              </w:rPr>
              <w:fldChar w:fldCharType="begin"/>
            </w:r>
            <w:r>
              <w:rPr>
                <w:sz w:val="18"/>
                <w:rFonts w:cs="Arial" w:ascii="Arial" w:hAnsi="Arial"/>
              </w:rPr>
              <w:instrText xml:space="preserve"> MERGEFIELD ScheduleLanguage </w:instrText>
            </w:r>
            <w:r>
              <w:rPr>
                <w:sz w:val="18"/>
                <w:rFonts w:cs="Arial" w:ascii="Arial" w:hAnsi="Arial"/>
              </w:rPr>
              <w:fldChar w:fldCharType="separate"/>
            </w:r>
            <w:r>
              <w:rPr>
                <w:sz w:val="18"/>
                <w:rFonts w:cs="Arial" w:ascii="Arial" w:hAnsi="Arial"/>
              </w:rPr>
              <w:t>Daily pre-schedule by 11:00 a.m. CPT on the business day prior to delivery.  Delivery Point is any point Into CINERGY System at  seller’s daily election.</w:t>
            </w:r>
            <w:r>
              <w:rPr>
                <w:sz w:val="18"/>
                <w:rFonts w:cs="Arial" w:ascii="Arial" w:hAnsi="Arial"/>
              </w:rPr>
              <w:fldChar w:fldCharType="end"/>
            </w:r>
          </w:p>
        </w:tc>
      </w:tr>
    </w:tbl>
    <w:p>
      <w:pPr>
        <w:pStyle w:val="Normal"/>
        <w:jc w:val="both"/>
        <w:rPr>
          <w:rFonts w:ascii="Arial" w:hAnsi="Arial" w:cs="Arial"/>
          <w:color w:val="000000"/>
          <w:sz w:val="18"/>
        </w:rPr>
      </w:pPr>
      <w:r>
        <w:rPr>
          <w:rFonts w:cs="Arial" w:ascii="Arial" w:hAnsi="Arial"/>
          <w:color w:val="000000"/>
          <w:sz w:val="18"/>
        </w:rPr>
      </w:r>
    </w:p>
    <w:p>
      <w:pPr>
        <w:pStyle w:val="Normal"/>
        <w:jc w:val="both"/>
        <w:rPr>
          <w:rFonts w:ascii="Arial" w:hAnsi="Arial" w:cs="Arial"/>
          <w:color w:val="000000"/>
          <w:sz w:val="18"/>
        </w:rPr>
      </w:pPr>
      <w:r>
        <w:rPr>
          <w:rFonts w:cs="Arial" w:ascii="Arial" w:hAnsi="Arial"/>
          <w:color w:val="000000"/>
          <w:sz w:val="18"/>
        </w:rPr>
        <w:t>Each of the parties to this Agreement recognizes and acknowledges that the parties are acting and agreeing to perform their obligations hereunder in reliance upon (i) the timely execution and delivery by Enron Power Marketing, Inc. (“Third Party”) and Seller of a transaction in substantially the form attached hereto as Exhibit A (“Third Party Transaction A”) and would not otherwise agree to execute, deliver and perform under this Agreement if Third Party and Seller were not contemporaneously executing and delivering Third Party Transaction A and (ii) the timely execution and delivery by Third Party and Buyer of a transaction and substantially the form attached hereto as Exhibit B (“Third Party Transaction B”) and would not otherwise agree to execute, delivery and perform under this Agreement if Third Party and Buyer were not contemporaneously executing and delivering Third Party Transaction B.  The effectiveness of this Agreement shall be subject to the condition that contemporaneously with the execution and delivery of this Agreement Seller and Third Party execute and deliver Third Party Transaction A and Buyer and Third Party execute and deliver Third Party Transaction B.</w:t>
      </w:r>
    </w:p>
    <w:p>
      <w:pPr>
        <w:pStyle w:val="Normal"/>
        <w:jc w:val="both"/>
        <w:rPr>
          <w:rFonts w:ascii="Arial" w:hAnsi="Arial" w:cs="Arial"/>
          <w:color w:val="000000"/>
          <w:sz w:val="18"/>
        </w:rPr>
      </w:pPr>
      <w:r>
        <w:rPr>
          <w:rFonts w:cs="Arial" w:ascii="Arial" w:hAnsi="Arial"/>
          <w:color w:val="000000"/>
          <w:sz w:val="18"/>
        </w:rPr>
      </w:r>
    </w:p>
    <w:p>
      <w:pPr>
        <w:pStyle w:val="Normal"/>
        <w:keepNext w:val="true"/>
        <w:ind w:hanging="1440" w:start="1440" w:end="0"/>
        <w:jc w:val="both"/>
        <w:rPr>
          <w:rFonts w:ascii="Arial" w:hAnsi="Arial" w:cs="Arial"/>
          <w:sz w:val="18"/>
          <w:u w:val="single"/>
        </w:rPr>
      </w:pPr>
      <w:r>
        <w:rPr>
          <w:rFonts w:cs="Arial" w:ascii="Arial" w:hAnsi="Arial"/>
          <w:sz w:val="18"/>
          <w:u w:val="single"/>
        </w:rPr>
        <w:t>Damages for Non-Performance:</w:t>
      </w:r>
    </w:p>
    <w:p>
      <w:pPr>
        <w:pStyle w:val="Normal"/>
        <w:keepNext w:val="true"/>
        <w:ind w:hanging="1440" w:start="1440" w:end="0"/>
        <w:jc w:val="both"/>
        <w:rPr>
          <w:rFonts w:ascii="Arial" w:hAnsi="Arial" w:cs="Arial"/>
          <w:sz w:val="18"/>
          <w:u w:val="single"/>
        </w:rPr>
      </w:pPr>
      <w:r>
        <w:rPr>
          <w:rFonts w:cs="Arial" w:ascii="Arial" w:hAnsi="Arial"/>
          <w:sz w:val="18"/>
          <w:u w:val="single"/>
        </w:rPr>
      </w:r>
    </w:p>
    <w:p>
      <w:pPr>
        <w:pStyle w:val="Normal"/>
        <w:keepNext w:val="true"/>
        <w:tabs>
          <w:tab w:val="clear" w:pos="720"/>
          <w:tab w:val="left" w:pos="0" w:leader="none"/>
        </w:tabs>
        <w:jc w:val="both"/>
        <w:rPr/>
      </w:pPr>
      <w:r>
        <w:rPr>
          <w:rFonts w:cs="Arial" w:ascii="Arial" w:hAnsi="Arial"/>
          <w:sz w:val="18"/>
        </w:rPr>
        <w:t xml:space="preserve">(1) In the event Seller fails to schedule and to deliver the Quantity, where such failure was not excused by uncontrollable forces or by Buyer’s failure to perform, Seller shall pay Buyer (on the date payment would otherwise be due under this transaction) an amount for each Mwhr of such deficiency equal to the positive difference, if any, between : (i) the price at which Buyer is able to purchase or otherwise receive such deficiency of power acting in a commercially reasonable manner (adjusted to reflect differences in transmission costs, if any)  minus (ii) the Price;  </w:t>
      </w:r>
      <w:r>
        <w:rPr>
          <w:rFonts w:cs="Arial" w:ascii="Arial" w:hAnsi="Arial"/>
          <w:sz w:val="18"/>
          <w:u w:val="single"/>
        </w:rPr>
        <w:t>provided</w:t>
      </w:r>
      <w:r>
        <w:rPr>
          <w:rFonts w:cs="Arial" w:ascii="Arial" w:hAnsi="Arial"/>
          <w:sz w:val="18"/>
        </w:rPr>
        <w:t xml:space="preserve">, </w:t>
      </w:r>
      <w:r>
        <w:rPr>
          <w:rFonts w:cs="Arial" w:ascii="Arial" w:hAnsi="Arial"/>
          <w:sz w:val="18"/>
          <w:u w:val="single"/>
        </w:rPr>
        <w:t>however</w:t>
      </w:r>
      <w:r>
        <w:rPr>
          <w:rFonts w:cs="Arial" w:ascii="Arial" w:hAnsi="Arial"/>
          <w:sz w:val="18"/>
        </w:rPr>
        <w:t>, in no event shall such amounts include any penalties, ratcheted demand or similar charges.</w:t>
      </w:r>
    </w:p>
    <w:p>
      <w:pPr>
        <w:pStyle w:val="Normal"/>
        <w:ind w:hanging="1440" w:start="1440" w:end="0"/>
        <w:jc w:val="both"/>
        <w:rPr>
          <w:rFonts w:ascii="Arial" w:hAnsi="Arial" w:cs="Arial"/>
          <w:sz w:val="18"/>
        </w:rPr>
      </w:pPr>
      <w:r>
        <w:rPr>
          <w:rFonts w:cs="Arial" w:ascii="Arial" w:hAnsi="Arial"/>
          <w:sz w:val="18"/>
        </w:rPr>
      </w:r>
    </w:p>
    <w:p>
      <w:pPr>
        <w:pStyle w:val="Normal"/>
        <w:jc w:val="both"/>
        <w:rPr/>
      </w:pPr>
      <w:r>
        <w:rPr>
          <w:rFonts w:cs="Arial" w:ascii="Arial" w:hAnsi="Arial"/>
          <w:sz w:val="18"/>
        </w:rPr>
        <w:t>(2) In the event Buyer fails to schedule and to receive the Quantity, where such failure was not excused by uncontrollable forces or by Seller’s failure to perform, Buyer</w:t>
      </w:r>
      <w:r>
        <w:rPr>
          <w:rFonts w:cs="Arial" w:ascii="Arial" w:hAnsi="Arial"/>
          <w:sz w:val="18"/>
        </w:rPr>
        <w:fldChar w:fldCharType="begin"/>
      </w:r>
      <w:r>
        <w:rPr>
          <w:sz w:val="18"/>
          <w:rFonts w:cs="Arial" w:ascii="Arial" w:hAnsi="Arial"/>
        </w:rPr>
        <w:instrText xml:space="preserve"> MERGEFIELD BuyerName </w:instrText>
      </w:r>
      <w:r>
        <w:rPr>
          <w:sz w:val="18"/>
          <w:rFonts w:cs="Arial" w:ascii="Arial" w:hAnsi="Arial"/>
        </w:rPr>
        <w:fldChar w:fldCharType="separate"/>
      </w:r>
      <w:r>
        <w:rPr>
          <w:sz w:val="18"/>
          <w:rFonts w:cs="Arial" w:ascii="Arial" w:hAnsi="Arial"/>
        </w:rPr>
      </w:r>
      <w:r>
        <w:rPr>
          <w:sz w:val="18"/>
          <w:rFonts w:cs="Arial" w:ascii="Arial" w:hAnsi="Arial"/>
        </w:rPr>
        <w:fldChar w:fldCharType="end"/>
      </w:r>
      <w:r>
        <w:rPr>
          <w:rFonts w:cs="Arial" w:ascii="Arial" w:hAnsi="Arial"/>
          <w:sz w:val="18"/>
        </w:rPr>
        <w:t xml:space="preserve"> shall pay Seller (on the date payment would otherwise be due under this transaction) an amount for each Mwhr of such deficiency equal to the positive difference, if any, between:  (i) the price reflected herein minus (ii) the price at which Seller is able to sell or otherwise dispose of such deficiency quantity of power acting in a commercially reasonable manner (adjusted to reflect differences in transmission costs, if any); </w:t>
      </w:r>
      <w:r>
        <w:rPr>
          <w:rFonts w:cs="Arial" w:ascii="Arial" w:hAnsi="Arial"/>
          <w:sz w:val="18"/>
          <w:u w:val="single"/>
        </w:rPr>
        <w:t>provided</w:t>
      </w:r>
      <w:r>
        <w:rPr>
          <w:rFonts w:cs="Arial" w:ascii="Arial" w:hAnsi="Arial"/>
          <w:sz w:val="18"/>
        </w:rPr>
        <w:t xml:space="preserve">, </w:t>
      </w:r>
      <w:r>
        <w:rPr>
          <w:rFonts w:cs="Arial" w:ascii="Arial" w:hAnsi="Arial"/>
          <w:sz w:val="18"/>
          <w:u w:val="single"/>
        </w:rPr>
        <w:t>however</w:t>
      </w:r>
      <w:r>
        <w:rPr>
          <w:rFonts w:cs="Arial" w:ascii="Arial" w:hAnsi="Arial"/>
          <w:sz w:val="18"/>
        </w:rPr>
        <w:t>, in no event shall such amounts include any penalties, ratcheted demand or similar charges.</w:t>
      </w:r>
    </w:p>
    <w:p>
      <w:pPr>
        <w:pStyle w:val="Normal"/>
        <w:ind w:hanging="1440" w:start="1440" w:end="0"/>
        <w:jc w:val="both"/>
        <w:rPr>
          <w:rFonts w:ascii="Arial" w:hAnsi="Arial" w:cs="Arial"/>
          <w:sz w:val="18"/>
        </w:rPr>
      </w:pPr>
      <w:r>
        <w:rPr>
          <w:rFonts w:cs="Arial" w:ascii="Arial" w:hAnsi="Arial"/>
          <w:sz w:val="18"/>
        </w:rPr>
      </w:r>
    </w:p>
    <w:p>
      <w:pPr>
        <w:pStyle w:val="BodyTextIndent"/>
        <w:ind w:start="0" w:end="0"/>
        <w:rPr>
          <w:rFonts w:ascii="Arial" w:hAnsi="Arial" w:cs="Arial"/>
          <w:sz w:val="18"/>
        </w:rPr>
      </w:pPr>
      <w:r>
        <w:rPr>
          <w:rFonts w:cs="Arial" w:ascii="Arial" w:hAnsi="Arial"/>
          <w:sz w:val="18"/>
        </w:rPr>
        <w:t>(3) Both Parties hereby stipulate that the payment obligations set forth above are reasonable in light of the anticipated harm and the difficulty of estimation or calculation of actual damages and each Party hereby waives the right to contest such payments as an unreasonable penalty.  In the event either Party fails to pay such amounts in accordance with this Article when due, the aggrieved Party shall have the right to:  (i) suspend performance until such amounts plus interest have been paid, and/or (ii) exercise any remedy available at law or in equity to enforce payment of such amount plus interest.  The remedy set forth herein shall be the sole and exclusive remedy of the aggrieved Party for the failure of the other Party to sell or purchase the Scheduled Energy and all other damages and remedies are hereby waived.</w:t>
      </w:r>
    </w:p>
    <w:p>
      <w:pPr>
        <w:pStyle w:val="BodyTextIndent"/>
        <w:rPr>
          <w:rFonts w:ascii="Arial" w:hAnsi="Arial" w:cs="Arial"/>
          <w:sz w:val="18"/>
        </w:rPr>
      </w:pPr>
      <w:r>
        <w:rPr>
          <w:rFonts w:cs="Arial" w:ascii="Arial" w:hAnsi="Arial"/>
          <w:sz w:val="18"/>
        </w:rPr>
      </w:r>
    </w:p>
    <w:p>
      <w:pPr>
        <w:pStyle w:val="BodyTextIndent"/>
        <w:ind w:start="0" w:end="0"/>
        <w:rPr>
          <w:rFonts w:ascii="Arial" w:hAnsi="Arial" w:cs="Arial"/>
          <w:sz w:val="18"/>
        </w:rPr>
      </w:pPr>
      <w:r>
        <w:rPr>
          <w:rFonts w:cs="Arial" w:ascii="Arial" w:hAnsi="Arial"/>
          <w:sz w:val="18"/>
        </w:rPr>
        <w:t xml:space="preserve">The terms “Force Majeure” and “Uncontrollable Forces” are used interchangeably in this confirmation letter.  </w:t>
      </w:r>
    </w:p>
    <w:p>
      <w:pPr>
        <w:pStyle w:val="Normal"/>
        <w:jc w:val="both"/>
        <w:rPr>
          <w:rFonts w:ascii="Arial" w:hAnsi="Arial" w:cs="Arial"/>
          <w:sz w:val="18"/>
        </w:rPr>
      </w:pPr>
      <w:r>
        <w:rPr>
          <w:rFonts w:cs="Arial" w:ascii="Arial" w:hAnsi="Arial"/>
          <w:sz w:val="18"/>
        </w:rPr>
      </w:r>
    </w:p>
    <w:p>
      <w:pPr>
        <w:pStyle w:val="Normal"/>
        <w:tabs>
          <w:tab w:val="left" w:pos="720" w:leader="none"/>
          <w:tab w:val="left" w:pos="1440" w:leader="none"/>
          <w:tab w:val="left" w:pos="2160" w:leader="none"/>
          <w:tab w:val="left" w:pos="4320" w:leader="none"/>
          <w:tab w:val="left" w:pos="5040" w:leader="none"/>
          <w:tab w:val="left" w:pos="5760" w:leader="none"/>
          <w:tab w:val="left" w:pos="6480" w:leader="none"/>
        </w:tabs>
        <w:jc w:val="both"/>
        <w:rPr/>
      </w:pPr>
      <w:r>
        <w:rPr>
          <w:rFonts w:cs="Arial" w:ascii="Arial" w:hAnsi="Arial"/>
          <w:sz w:val="18"/>
          <w:u w:val="single"/>
        </w:rPr>
        <w:t>Confidentiality.</w:t>
      </w:r>
      <w:r>
        <w:rPr>
          <w:rFonts w:cs="Arial" w:ascii="Arial" w:hAnsi="Arial"/>
          <w:sz w:val="18"/>
        </w:rPr>
        <w:t xml:space="preserve"> Neither Party shall disclose the terms of this Transaction to a third party (other than the Party's and its affiliates' employees, lenders, counsel, or accountants 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Parties shall be entitled to all remedies available at law or in equity to enforce, or seek relief in connection with, this confidentiality obligation; provided, all monetary damages shall be limited as set forth in the referenced Agreement.</w:t>
      </w:r>
    </w:p>
    <w:p>
      <w:pPr>
        <w:pStyle w:val="Normal"/>
        <w:tabs>
          <w:tab w:val="clear" w:pos="720"/>
          <w:tab w:val="left" w:pos="360" w:leader="none"/>
          <w:tab w:val="left" w:pos="5040" w:leader="none"/>
          <w:tab w:val="left" w:pos="5760" w:leader="none"/>
          <w:tab w:val="left" w:pos="6480" w:leader="none"/>
        </w:tabs>
        <w:jc w:val="both"/>
        <w:rPr>
          <w:rFonts w:ascii="Arial" w:hAnsi="Arial" w:cs="Arial"/>
          <w:sz w:val="18"/>
        </w:rPr>
      </w:pPr>
      <w:r>
        <w:rPr>
          <w:rFonts w:cs="Arial" w:ascii="Arial" w:hAnsi="Arial"/>
          <w:sz w:val="18"/>
        </w:rPr>
      </w:r>
    </w:p>
    <w:p>
      <w:pPr>
        <w:pStyle w:val="Normal"/>
        <w:tabs>
          <w:tab w:val="clear" w:pos="720"/>
          <w:tab w:val="left" w:pos="360" w:leader="none"/>
          <w:tab w:val="left" w:pos="5040" w:leader="none"/>
          <w:tab w:val="left" w:pos="5760" w:leader="none"/>
          <w:tab w:val="left" w:pos="6480" w:leader="none"/>
        </w:tabs>
        <w:jc w:val="both"/>
        <w:rPr/>
      </w:pPr>
      <w:r>
        <w:rPr>
          <w:rFonts w:cs="Arial" w:ascii="Arial" w:hAnsi="Arial"/>
          <w:sz w:val="18"/>
        </w:rPr>
        <w:t xml:space="preserve">This confirmation letter is being provided pursuant to and in accordance with the Agreement between </w:t>
      </w:r>
      <w:r>
        <w:rPr>
          <w:rFonts w:cs="Arial" w:ascii="Arial" w:hAnsi="Arial"/>
          <w:sz w:val="18"/>
        </w:rPr>
        <w:fldChar w:fldCharType="begin"/>
      </w:r>
      <w:r>
        <w:rPr>
          <w:sz w:val="18"/>
          <w:rFonts w:cs="Arial" w:ascii="Arial" w:hAnsi="Arial"/>
        </w:rPr>
        <w:instrText xml:space="preserve"> MERGEFIELD CounterpartyName </w:instrText>
      </w:r>
      <w:r>
        <w:rPr>
          <w:sz w:val="18"/>
          <w:rFonts w:cs="Arial" w:ascii="Arial" w:hAnsi="Arial"/>
        </w:rPr>
        <w:fldChar w:fldCharType="separate"/>
      </w:r>
      <w:r>
        <w:rPr>
          <w:sz w:val="18"/>
          <w:rFonts w:cs="Arial" w:ascii="Arial" w:hAnsi="Arial"/>
        </w:rPr>
        <w:t>American Electric Power Service Corporation</w:t>
      </w:r>
      <w:r>
        <w:rPr>
          <w:sz w:val="18"/>
          <w:rFonts w:cs="Arial" w:ascii="Arial" w:hAnsi="Arial"/>
        </w:rPr>
        <w:fldChar w:fldCharType="end"/>
      </w:r>
      <w:r>
        <w:rPr>
          <w:rFonts w:cs="Arial" w:ascii="Arial" w:hAnsi="Arial"/>
          <w:sz w:val="18"/>
        </w:rPr>
        <w:t xml:space="preserve"> and </w:t>
      </w:r>
      <w:r>
        <w:rPr>
          <w:rFonts w:cs="Arial" w:ascii="Arial" w:hAnsi="Arial"/>
          <w:sz w:val="18"/>
        </w:rPr>
        <w:fldChar w:fldCharType="begin"/>
      </w:r>
      <w:r>
        <w:rPr>
          <w:sz w:val="18"/>
          <w:rFonts w:cs="Arial" w:ascii="Arial" w:hAnsi="Arial"/>
        </w:rPr>
        <w:instrText xml:space="preserve"> MERGEFIELD EnronEntityName </w:instrText>
      </w:r>
      <w:r>
        <w:rPr>
          <w:sz w:val="18"/>
          <w:rFonts w:cs="Arial" w:ascii="Arial" w:hAnsi="Arial"/>
        </w:rPr>
        <w:fldChar w:fldCharType="separate"/>
      </w:r>
      <w:r>
        <w:rPr>
          <w:sz w:val="18"/>
          <w:rFonts w:cs="Arial" w:ascii="Arial" w:hAnsi="Arial"/>
        </w:rPr>
        <w:t>Allegheny Energy Supply Company, LLC</w:t>
      </w:r>
      <w:r>
        <w:rPr>
          <w:sz w:val="18"/>
          <w:rFonts w:cs="Arial" w:ascii="Arial" w:hAnsi="Arial"/>
        </w:rPr>
        <w:fldChar w:fldCharType="end"/>
      </w:r>
      <w:r>
        <w:rPr>
          <w:rFonts w:cs="Arial" w:ascii="Arial" w:hAnsi="Arial"/>
          <w:sz w:val="18"/>
        </w:rPr>
        <w:t xml:space="preserve"> dated __________, and constitutes part of and is subject to all of the terms and provisions of such agreement. Notwithstanding any contrary provisions in the Agreement, any conflict between this Confirmation and the Agreement shall be resolved in favor of this Confirmation.  Terms used but not defined herein shall have the meanings ascribed to them in the Agreement.</w:t>
      </w:r>
    </w:p>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r>
    </w:p>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jc w:val="both"/>
        <w:rPr/>
      </w:pPr>
      <w:r>
        <w:rPr>
          <w:rFonts w:cs="Arial" w:ascii="Arial" w:hAnsi="Arial"/>
          <w:sz w:val="18"/>
        </w:rPr>
        <w:t xml:space="preserve">Please confirm that the terms stated herein accurately reflect the agreement reached on </w:t>
      </w:r>
      <w:r>
        <w:rPr>
          <w:rFonts w:cs="Arial" w:ascii="Arial" w:hAnsi="Arial"/>
          <w:sz w:val="18"/>
        </w:rPr>
        <w:fldChar w:fldCharType="begin"/>
      </w:r>
      <w:r>
        <w:rPr>
          <w:sz w:val="18"/>
          <w:rFonts w:cs="Arial" w:ascii="Arial" w:hAnsi="Arial"/>
        </w:rPr>
        <w:instrText xml:space="preserve"> MERGEFIELD DealDate </w:instrText>
      </w:r>
      <w:r>
        <w:rPr>
          <w:sz w:val="18"/>
          <w:rFonts w:cs="Arial" w:ascii="Arial" w:hAnsi="Arial"/>
        </w:rPr>
        <w:fldChar w:fldCharType="separate"/>
      </w:r>
      <w:r>
        <w:rPr>
          <w:sz w:val="18"/>
          <w:rFonts w:cs="Arial" w:ascii="Arial" w:hAnsi="Arial"/>
        </w:rPr>
        <w:t>November 1, 2001</w:t>
      </w:r>
      <w:r>
        <w:rPr>
          <w:sz w:val="18"/>
          <w:rFonts w:cs="Arial" w:ascii="Arial" w:hAnsi="Arial"/>
        </w:rPr>
        <w:fldChar w:fldCharType="end"/>
      </w:r>
      <w:r>
        <w:rPr>
          <w:rFonts w:cs="Arial" w:ascii="Arial" w:hAnsi="Arial"/>
          <w:sz w:val="18"/>
        </w:rPr>
        <w:t xml:space="preserve"> between you and </w:t>
      </w:r>
      <w:r>
        <w:rPr>
          <w:rFonts w:cs="Arial" w:ascii="Arial" w:hAnsi="Arial"/>
          <w:sz w:val="18"/>
        </w:rPr>
        <w:fldChar w:fldCharType="begin"/>
      </w:r>
      <w:r>
        <w:rPr>
          <w:sz w:val="18"/>
          <w:rFonts w:cs="Arial" w:ascii="Arial" w:hAnsi="Arial"/>
        </w:rPr>
        <w:instrText xml:space="preserve"> MERGEFIELD EnronEntityName </w:instrText>
      </w:r>
      <w:r>
        <w:rPr>
          <w:sz w:val="18"/>
          <w:rFonts w:cs="Arial" w:ascii="Arial" w:hAnsi="Arial"/>
        </w:rPr>
        <w:fldChar w:fldCharType="separate"/>
      </w:r>
      <w:r>
        <w:rPr>
          <w:sz w:val="18"/>
          <w:rFonts w:cs="Arial" w:ascii="Arial" w:hAnsi="Arial"/>
        </w:rPr>
        <w:t>Allegheny Energy Supply Company, LLC</w:t>
      </w:r>
      <w:r>
        <w:rPr>
          <w:sz w:val="18"/>
          <w:rFonts w:cs="Arial" w:ascii="Arial" w:hAnsi="Arial"/>
        </w:rPr>
        <w:fldChar w:fldCharType="end"/>
      </w:r>
      <w:r>
        <w:rPr>
          <w:rFonts w:cs="Arial" w:ascii="Arial" w:hAnsi="Arial"/>
          <w:sz w:val="18"/>
        </w:rPr>
        <w:t xml:space="preserve"> by returning an executed copy of this letter by facsimile to Allegheny Energy Supply Company, LLC at _______. Your response should reflect the appropriate party in your organization who has the authority to enter into this transaction. If you have any questions please call (713) 853-1886.</w:t>
      </w:r>
    </w:p>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rPr>
          <w:rFonts w:ascii="Arial" w:hAnsi="Arial" w:cs="Arial"/>
          <w:sz w:val="18"/>
        </w:rPr>
      </w:pPr>
      <w:r>
        <w:rPr>
          <w:rFonts w:cs="Arial" w:ascii="Arial" w:hAnsi="Arial"/>
          <w:sz w:val="18"/>
        </w:rPr>
      </w:r>
    </w:p>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rPr/>
      </w:pPr>
      <w:r>
        <w:rPr/>
        <w:tab/>
      </w:r>
    </w:p>
    <w:tbl>
      <w:tblPr>
        <w:tblW w:w="9576" w:type="dxa"/>
        <w:jc w:val="start"/>
        <w:tblInd w:w="0" w:type="dxa"/>
        <w:tblLayout w:type="fixed"/>
        <w:tblCellMar>
          <w:top w:w="0" w:type="dxa"/>
          <w:start w:w="108" w:type="dxa"/>
          <w:bottom w:w="0" w:type="dxa"/>
          <w:end w:w="108" w:type="dxa"/>
        </w:tblCellMar>
      </w:tblPr>
      <w:tblGrid>
        <w:gridCol w:w="5058"/>
        <w:gridCol w:w="4518"/>
      </w:tblGrid>
      <w:tr>
        <w:trPr/>
        <w:tc>
          <w:tcPr>
            <w:tcW w:w="5058" w:type="dxa"/>
            <w:tcBorders/>
          </w:tcPr>
          <w:p>
            <w:pPr>
              <w:pStyle w:val="Normal"/>
              <w:keepNext w:val="true"/>
              <w:keepLines/>
              <w:rPr>
                <w:rFonts w:ascii="Arial" w:hAnsi="Arial" w:cs="Arial"/>
                <w:sz w:val="18"/>
              </w:rPr>
            </w:pPr>
            <w:r>
              <w:rPr>
                <w:rFonts w:cs="Arial" w:ascii="Arial" w:hAnsi="Arial"/>
                <w:sz w:val="18"/>
              </w:rPr>
              <w:fldChar w:fldCharType="begin"/>
            </w:r>
            <w:r>
              <w:rPr>
                <w:sz w:val="18"/>
                <w:rFonts w:cs="Arial" w:ascii="Arial" w:hAnsi="Arial"/>
              </w:rPr>
              <w:instrText xml:space="preserve"> MERGEFIELD CounterpartyName </w:instrText>
            </w:r>
            <w:r>
              <w:rPr>
                <w:sz w:val="18"/>
                <w:rFonts w:cs="Arial" w:ascii="Arial" w:hAnsi="Arial"/>
              </w:rPr>
              <w:fldChar w:fldCharType="separate"/>
            </w:r>
            <w:r>
              <w:rPr>
                <w:sz w:val="18"/>
                <w:rFonts w:cs="Arial" w:ascii="Arial" w:hAnsi="Arial"/>
              </w:rPr>
              <w:t>American Electric Power Service Corporation</w:t>
            </w:r>
            <w:r>
              <w:rPr>
                <w:sz w:val="18"/>
                <w:rFonts w:cs="Arial" w:ascii="Arial" w:hAnsi="Arial"/>
              </w:rPr>
              <w:fldChar w:fldCharType="end"/>
            </w:r>
          </w:p>
        </w:tc>
        <w:tc>
          <w:tcPr>
            <w:tcW w:w="4518" w:type="dxa"/>
            <w:tcBorders/>
          </w:tcPr>
          <w:p>
            <w:pPr>
              <w:pStyle w:val="Normal"/>
              <w:keepNext w:val="true"/>
              <w:keepLines/>
              <w:rPr>
                <w:rFonts w:ascii="Arial" w:hAnsi="Arial" w:cs="Arial"/>
                <w:sz w:val="18"/>
              </w:rPr>
            </w:pPr>
            <w:r>
              <w:rPr>
                <w:rFonts w:cs="Arial" w:ascii="Arial" w:hAnsi="Arial"/>
                <w:sz w:val="18"/>
              </w:rPr>
              <w:fldChar w:fldCharType="begin"/>
            </w:r>
            <w:r>
              <w:rPr>
                <w:sz w:val="18"/>
                <w:rFonts w:cs="Arial" w:ascii="Arial" w:hAnsi="Arial"/>
              </w:rPr>
              <w:instrText xml:space="preserve"> MERGEFIELD EnronEntityName </w:instrText>
            </w:r>
            <w:r>
              <w:rPr>
                <w:sz w:val="18"/>
                <w:rFonts w:cs="Arial" w:ascii="Arial" w:hAnsi="Arial"/>
              </w:rPr>
              <w:fldChar w:fldCharType="separate"/>
            </w:r>
            <w:r>
              <w:rPr>
                <w:sz w:val="18"/>
                <w:rFonts w:cs="Arial" w:ascii="Arial" w:hAnsi="Arial"/>
              </w:rPr>
              <w:t>Allegheny Energy Supply Company, LLC</w:t>
            </w:r>
            <w:r>
              <w:rPr>
                <w:sz w:val="18"/>
                <w:rFonts w:cs="Arial" w:ascii="Arial" w:hAnsi="Arial"/>
              </w:rPr>
              <w:fldChar w:fldCharType="end"/>
            </w:r>
          </w:p>
        </w:tc>
      </w:tr>
    </w:tbl>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rPr>
          <w:rFonts w:ascii="Arial" w:hAnsi="Arial" w:cs="Arial"/>
          <w:sz w:val="18"/>
        </w:rPr>
      </w:pPr>
      <w:r>
        <w:rPr>
          <w:rFonts w:cs="Arial" w:ascii="Arial" w:hAnsi="Arial"/>
          <w:sz w:val="18"/>
        </w:rPr>
      </w:r>
    </w:p>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rPr>
          <w:rFonts w:ascii="Arial" w:hAnsi="Arial" w:cs="Arial"/>
          <w:sz w:val="18"/>
        </w:rPr>
      </w:pPr>
      <w:r>
        <w:rPr>
          <w:rFonts w:cs="Arial" w:ascii="Arial" w:hAnsi="Arial"/>
          <w:sz w:val="18"/>
        </w:rPr>
      </w:r>
    </w:p>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By:</w:t>
        <w:tab/>
        <w:t>__________________________</w:t>
        <w:tab/>
        <w:t>By:</w:t>
        <w:tab/>
        <w:t>_________________</w:t>
      </w:r>
    </w:p>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r>
    </w:p>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Name:</w:t>
        <w:tab/>
        <w:t>__________________________</w:t>
        <w:tab/>
        <w:t>Name:</w:t>
        <w:tab/>
        <w:t xml:space="preserve"> _________________</w:t>
      </w:r>
    </w:p>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r>
    </w:p>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Title:       __________________________</w:t>
        <w:tab/>
        <w:t>Title:        _________________</w:t>
      </w:r>
    </w:p>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ab/>
        <w:tab/>
        <w:tab/>
        <w:tab/>
      </w:r>
    </w:p>
    <w:p>
      <w:pPr>
        <w:pStyle w:val="Normal"/>
        <w:keepLines/>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r>
    </w:p>
    <w:sectPr>
      <w:headerReference w:type="default" r:id="rId2"/>
      <w:footerReference w:type="default" r:id="rId3"/>
      <w:type w:val="nextPage"/>
      <w:pgSz w:w="11940" w:h="15840"/>
      <w:pgMar w:left="1170" w:right="1095"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enter" w:pos="4320" w:leader="none"/>
        <w:tab w:val="left" w:pos="7380" w:leader="none"/>
        <w:tab w:val="right" w:pos="8640" w:leader="none"/>
      </w:tabs>
      <w:ind w:start="6840" w:end="0"/>
      <w:rPr>
        <w:rFonts w:ascii="Arial" w:hAnsi="Arial" w:cs="Arial"/>
      </w:rPr>
    </w:pPr>
    <w:r>
      <w:rPr>
        <w:rFonts w:cs="Arial" w:ascii="Arial" w:hAnsi="Arial"/>
      </w:rPr>
    </w:r>
  </w:p>
  <w:p>
    <w:pPr>
      <w:pStyle w:val="Header"/>
      <w:tabs>
        <w:tab w:val="center" w:pos="4320" w:leader="none"/>
        <w:tab w:val="left" w:pos="7380" w:leader="none"/>
        <w:tab w:val="right" w:pos="8640" w:leader="none"/>
      </w:tabs>
      <w:ind w:start="6840" w:end="0"/>
      <w:rPr>
        <w:rStyle w:val="PageNumber"/>
        <w:rFonts w:ascii="Arial" w:hAnsi="Arial" w:cs="Arial"/>
        <w:sz w:val="22"/>
      </w:rPr>
    </w:pPr>
    <w:r>
      <w:rPr>
        <w:rFonts w:cs="Arial" w:ascii="Arial" w:hAnsi="Arial"/>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3">
    <w:name w:val="heading 3"/>
    <w:basedOn w:val="Normal"/>
    <w:next w:val="NormalIndent"/>
    <w:qFormat/>
    <w:pPr>
      <w:numPr>
        <w:ilvl w:val="2"/>
        <w:numId w:val="1"/>
      </w:numPr>
      <w:ind w:hanging="0" w:start="360" w:end="0"/>
      <w:outlineLvl w:val="2"/>
    </w:pPr>
    <w:rPr>
      <w:rFonts w:ascii="Times" w:hAnsi="Times" w:cs="Times"/>
      <w:b/>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rPr>
      <w:rFonts w:ascii="Arial" w:hAnsi="Arial" w:cs="Arial"/>
      <w:b/>
      <w:sz w:val="24"/>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
    <w:name w:val="head"/>
    <w:basedOn w:val="Normal"/>
    <w:qFormat/>
    <w:pPr/>
    <w:rPr>
      <w:rFonts w:ascii="Times" w:hAnsi="Times" w:cs="Times"/>
      <w:b/>
      <w:sz w:val="22"/>
      <w:u w:val="double"/>
    </w:rPr>
  </w:style>
  <w:style w:type="paragraph" w:styleId="center">
    <w:name w:val="center"/>
    <w:basedOn w:val="Normal"/>
    <w:qFormat/>
    <w:pPr>
      <w:jc w:val="center"/>
    </w:pPr>
    <w:rPr>
      <w:b/>
      <w:u w:val="single"/>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NormalIndent">
    <w:name w:val="Normal Indent"/>
    <w:basedOn w:val="Normal"/>
    <w:qFormat/>
    <w:pPr>
      <w:ind w:hanging="0" w:start="720" w:end="0"/>
    </w:pPr>
    <w:rPr/>
  </w:style>
  <w:style w:type="paragraph" w:styleId="BodyTextIndent2">
    <w:name w:val="Body Text Indent 2"/>
    <w:basedOn w:val="Normal"/>
    <w:qFormat/>
    <w:pPr>
      <w:ind w:firstLine="720" w:start="0" w:end="0"/>
    </w:pPr>
    <w:rPr>
      <w:color w:val="000000"/>
      <w:sz w:val="24"/>
    </w:rPr>
  </w:style>
  <w:style w:type="paragraph" w:styleId="BodyTextIndent3">
    <w:name w:val="Body Text Indent 3"/>
    <w:basedOn w:val="Normal"/>
    <w:qFormat/>
    <w:pPr>
      <w:ind w:hanging="720" w:start="720" w:end="0"/>
      <w:jc w:val="both"/>
    </w:pPr>
    <w:rPr>
      <w:color w:val="000000"/>
      <w:sz w:val="24"/>
    </w:rPr>
  </w:style>
  <w:style w:type="paragraph" w:styleId="BodyTextIndent">
    <w:name w:val="Body Text Indent"/>
    <w:basedOn w:val="Normal"/>
    <w:pPr>
      <w:ind w:hanging="0" w:start="720" w:end="0"/>
      <w:jc w:val="both"/>
    </w:pPr>
    <w:rPr>
      <w:sz w:val="24"/>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2001-11-01T19:50:00Z</dcterms:created>
  <dc:creator>EOL 2147829</dc:creator>
  <dc:description/>
  <dc:language>en-CA</dc:language>
  <cp:lastModifiedBy>mmurphy</cp:lastModifiedBy>
  <cp:lastPrinted>2001-11-01T15:38:00Z</cp:lastPrinted>
  <dcterms:modified xsi:type="dcterms:W3CDTF">2001-11-01T22:24:00Z</dcterms:modified>
  <cp:revision>6</cp:revision>
  <dc:subject/>
  <dc:title>853137.01</dc:title>
</cp:coreProperties>
</file>