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Proposed Terms for Transaction</w:t>
      </w:r>
    </w:p>
    <w:p>
      <w:pPr>
        <w:pStyle w:val="Normal"/>
        <w:jc w:val="center"/>
        <w:rPr/>
      </w:pPr>
      <w:r>
        <w:rPr/>
        <w:t>Between</w:t>
      </w:r>
    </w:p>
    <w:p>
      <w:pPr>
        <w:pStyle w:val="Normal"/>
        <w:jc w:val="center"/>
        <w:rPr/>
      </w:pPr>
      <w:r>
        <w:rPr/>
        <w:t>____________________</w:t>
      </w:r>
    </w:p>
    <w:p>
      <w:pPr>
        <w:pStyle w:val="Normal"/>
        <w:jc w:val="center"/>
        <w:rPr/>
      </w:pPr>
      <w:r>
        <w:rPr/>
        <w:t xml:space="preserve">and </w:t>
      </w:r>
    </w:p>
    <w:p>
      <w:pPr>
        <w:pStyle w:val="Normal"/>
        <w:jc w:val="center"/>
        <w:rPr/>
      </w:pPr>
      <w:r>
        <w:rPr/>
        <w:t>Enron North America Corp.</w:t>
      </w:r>
    </w:p>
    <w:p>
      <w:pPr>
        <w:pStyle w:val="Normal"/>
        <w:rPr/>
      </w:pPr>
      <w:r>
        <w:rPr/>
      </w:r>
    </w:p>
    <w:p>
      <w:pPr>
        <w:pStyle w:val="Normal"/>
        <w:rPr/>
      </w:pPr>
      <w:r>
        <w:rPr/>
        <w:t>This term sheet outlines the general terms and conditions under which Enron North America Corp. (“ENA”) would purchase a financial call option from _______________________ (“Counterparty”).</w:t>
      </w:r>
    </w:p>
    <w:p>
      <w:pPr>
        <w:pStyle w:val="Normal"/>
        <w:rPr/>
      </w:pPr>
      <w:r>
        <w:rPr/>
      </w:r>
    </w:p>
    <w:p>
      <w:pPr>
        <w:pStyle w:val="Normal"/>
        <w:rPr/>
      </w:pPr>
      <w:r>
        <w:rPr/>
      </w:r>
    </w:p>
    <w:p>
      <w:pPr>
        <w:pStyle w:val="Normal"/>
        <w:ind w:hanging="2448" w:start="2448" w:end="0"/>
        <w:rPr/>
      </w:pPr>
      <w:r>
        <w:rPr/>
        <w:t>Type of Transaction:</w:t>
        <w:tab/>
        <w:t>Financial Call Option</w:t>
      </w:r>
    </w:p>
    <w:p>
      <w:pPr>
        <w:pStyle w:val="Normal"/>
        <w:ind w:hanging="2448" w:start="2448" w:end="0"/>
        <w:rPr/>
      </w:pPr>
      <w:r>
        <w:rPr/>
      </w:r>
    </w:p>
    <w:p>
      <w:pPr>
        <w:pStyle w:val="Normal"/>
        <w:ind w:hanging="2448" w:start="2448" w:end="0"/>
        <w:rPr/>
      </w:pPr>
      <w:r>
        <w:rPr/>
        <w:t>Commodity:</w:t>
        <w:tab/>
        <w:t>Drilling Rig Day Rate</w:t>
      </w:r>
    </w:p>
    <w:p>
      <w:pPr>
        <w:pStyle w:val="Normal"/>
        <w:ind w:hanging="2448" w:start="2448" w:end="0"/>
        <w:rPr/>
      </w:pPr>
      <w:r>
        <w:rPr/>
      </w:r>
    </w:p>
    <w:p>
      <w:pPr>
        <w:pStyle w:val="Normal"/>
        <w:ind w:hanging="2448" w:start="2448" w:end="0"/>
        <w:rPr/>
      </w:pPr>
      <w:r>
        <w:rPr/>
        <w:t>Option Style:</w:t>
        <w:tab/>
        <w:t>[American][European]</w:t>
      </w:r>
    </w:p>
    <w:p>
      <w:pPr>
        <w:pStyle w:val="Normal"/>
        <w:ind w:hanging="2448" w:start="2448" w:end="0"/>
        <w:rPr/>
      </w:pPr>
      <w:r>
        <w:rPr/>
      </w:r>
    </w:p>
    <w:p>
      <w:pPr>
        <w:pStyle w:val="Normal"/>
        <w:ind w:hanging="2448" w:start="2448" w:end="0"/>
        <w:rPr/>
      </w:pPr>
      <w:r>
        <w:rPr/>
        <w:t>Seller:</w:t>
        <w:tab/>
        <w:t>Counterparty</w:t>
      </w:r>
    </w:p>
    <w:p>
      <w:pPr>
        <w:pStyle w:val="Normal"/>
        <w:ind w:hanging="2448" w:start="2448" w:end="0"/>
        <w:rPr/>
      </w:pPr>
      <w:r>
        <w:rPr/>
      </w:r>
    </w:p>
    <w:p>
      <w:pPr>
        <w:pStyle w:val="Normal"/>
        <w:ind w:hanging="2448" w:start="2448" w:end="0"/>
        <w:rPr/>
      </w:pPr>
      <w:r>
        <w:rPr/>
        <w:t>Buyer:</w:t>
        <w:tab/>
        <w:t>ENA</w:t>
      </w:r>
    </w:p>
    <w:p>
      <w:pPr>
        <w:pStyle w:val="Normal"/>
        <w:ind w:hanging="2448" w:start="2448" w:end="0"/>
        <w:rPr/>
      </w:pPr>
      <w:r>
        <w:rPr/>
      </w:r>
    </w:p>
    <w:p>
      <w:pPr>
        <w:pStyle w:val="Normal"/>
        <w:ind w:hanging="2448" w:start="2448" w:end="0"/>
        <w:rPr/>
      </w:pPr>
      <w:r>
        <w:rPr/>
        <w:t>Term:</w:t>
        <w:tab/>
        <w:t>January 1, 2001 to March 31, 2001</w:t>
      </w:r>
    </w:p>
    <w:p>
      <w:pPr>
        <w:pStyle w:val="Normal"/>
        <w:ind w:hanging="2448" w:start="2448" w:end="0"/>
        <w:rPr/>
      </w:pPr>
      <w:r>
        <w:rPr/>
      </w:r>
    </w:p>
    <w:p>
      <w:pPr>
        <w:pStyle w:val="Normal"/>
        <w:ind w:hanging="2448" w:start="2448" w:end="0"/>
        <w:rPr/>
      </w:pPr>
      <w:r>
        <w:rPr/>
        <w:t>Notional Quantity per</w:t>
      </w:r>
    </w:p>
    <w:p>
      <w:pPr>
        <w:pStyle w:val="Normal"/>
        <w:ind w:hanging="2448" w:start="2448" w:end="0"/>
        <w:rPr/>
      </w:pPr>
      <w:r>
        <w:rPr/>
        <w:t>Determination Period:</w:t>
        <w:tab/>
        <w:t>1 Rig multiplied by the number of days in the Determination Period</w:t>
      </w:r>
    </w:p>
    <w:p>
      <w:pPr>
        <w:pStyle w:val="Normal"/>
        <w:ind w:hanging="2448" w:start="2448" w:end="0"/>
        <w:rPr/>
      </w:pPr>
      <w:r>
        <w:rPr/>
      </w:r>
    </w:p>
    <w:p>
      <w:pPr>
        <w:pStyle w:val="Normal"/>
        <w:ind w:hanging="2448" w:start="2448" w:end="0"/>
        <w:rPr/>
      </w:pPr>
      <w:r>
        <w:rPr/>
        <w:t>Determination Periods:</w:t>
        <w:tab/>
        <w:t>Each calendar month during the Term</w:t>
      </w:r>
    </w:p>
    <w:p>
      <w:pPr>
        <w:pStyle w:val="Normal"/>
        <w:ind w:hanging="2448" w:start="2448" w:end="0"/>
        <w:rPr/>
      </w:pPr>
      <w:r>
        <w:rPr/>
      </w:r>
    </w:p>
    <w:p>
      <w:pPr>
        <w:pStyle w:val="Normal"/>
        <w:ind w:hanging="2448" w:start="2448" w:end="0"/>
        <w:rPr/>
      </w:pPr>
      <w:r>
        <w:rPr/>
        <w:t>Strike Price:</w:t>
        <w:tab/>
        <w:t>$70,000.00/Rig/Day</w:t>
      </w:r>
    </w:p>
    <w:p>
      <w:pPr>
        <w:pStyle w:val="Normal"/>
        <w:ind w:hanging="2448" w:start="2448" w:end="0"/>
        <w:rPr/>
      </w:pPr>
      <w:r>
        <w:rPr/>
      </w:r>
    </w:p>
    <w:p>
      <w:pPr>
        <w:pStyle w:val="Normal"/>
        <w:ind w:hanging="2448" w:start="2448" w:end="0"/>
        <w:rPr/>
      </w:pPr>
      <w:r>
        <w:rPr/>
        <w:t>Commodity Reference</w:t>
      </w:r>
    </w:p>
    <w:p>
      <w:pPr>
        <w:pStyle w:val="Normal"/>
        <w:ind w:hanging="2448" w:start="2448" w:end="0"/>
        <w:rPr/>
      </w:pPr>
      <w:r>
        <w:rPr/>
        <w:t>Price:</w:t>
        <w:tab/>
        <w:t>One of the following, to be agreed prior to execution:</w:t>
      </w:r>
    </w:p>
    <w:p>
      <w:pPr>
        <w:pStyle w:val="Normal"/>
        <w:ind w:hanging="2448" w:start="2448" w:end="0"/>
        <w:rPr/>
      </w:pPr>
      <w:r>
        <w:rPr/>
      </w:r>
    </w:p>
    <w:p>
      <w:pPr>
        <w:pStyle w:val="Normal"/>
        <w:numPr>
          <w:ilvl w:val="0"/>
          <w:numId w:val="1"/>
        </w:numPr>
        <w:tabs>
          <w:tab w:val="clear" w:pos="720"/>
          <w:tab w:val="left" w:pos="0" w:leader="none"/>
          <w:tab w:val="left" w:pos="2448" w:leader="none"/>
        </w:tabs>
        <w:ind w:hanging="720" w:start="3168" w:end="0"/>
        <w:rPr/>
      </w:pPr>
      <w:r>
        <w:rPr/>
        <w:t>T</w:t>
      </w:r>
      <w:r>
        <w:rPr>
          <w:color w:val="000000"/>
        </w:rPr>
        <w:t xml:space="preserve">he median of the high and low Day Rates for </w:t>
      </w:r>
      <w:r>
        <w:rPr>
          <w:color w:val="000000"/>
          <w:u w:val="single"/>
        </w:rPr>
        <w:t>Gulf Of Mexico</w:t>
      </w:r>
      <w:r>
        <w:rPr>
          <w:color w:val="000000"/>
        </w:rPr>
        <w:t xml:space="preserve">, </w:t>
      </w:r>
      <w:r>
        <w:rPr>
          <w:color w:val="000000"/>
          <w:u w:val="single"/>
        </w:rPr>
        <w:t>Jackups</w:t>
      </w:r>
      <w:r>
        <w:rPr>
          <w:color w:val="000000"/>
        </w:rPr>
        <w:t xml:space="preserve"> "Over 300' - C", in the first issue of </w:t>
      </w:r>
      <w:r>
        <w:rPr>
          <w:i/>
          <w:iCs/>
          <w:color w:val="000000"/>
        </w:rPr>
        <w:t>Offshore Data Services, Offshore Rig Locator</w:t>
      </w:r>
      <w:r>
        <w:rPr>
          <w:color w:val="000000"/>
        </w:rPr>
        <w:t xml:space="preserve"> published following the Determination Period, on the page entitled "Competitive Offshore Rig Day Rates.</w:t>
      </w:r>
    </w:p>
    <w:p>
      <w:pPr>
        <w:pStyle w:val="Normal"/>
        <w:numPr>
          <w:ilvl w:val="0"/>
          <w:numId w:val="0"/>
        </w:numPr>
        <w:ind w:hanging="0" w:start="2448" w:end="0"/>
        <w:rPr>
          <w:color w:val="000000"/>
        </w:rPr>
      </w:pPr>
      <w:r>
        <w:rPr>
          <w:color w:val="000000"/>
        </w:rPr>
      </w:r>
    </w:p>
    <w:p>
      <w:pPr>
        <w:pStyle w:val="Normal"/>
        <w:numPr>
          <w:ilvl w:val="0"/>
          <w:numId w:val="0"/>
        </w:numPr>
        <w:ind w:hanging="0" w:start="2448" w:end="0"/>
        <w:rPr>
          <w:color w:val="000000"/>
        </w:rPr>
      </w:pPr>
      <w:r>
        <w:rPr>
          <w:color w:val="000000"/>
        </w:rPr>
        <w:t>Or</w:t>
      </w:r>
    </w:p>
    <w:p>
      <w:pPr>
        <w:pStyle w:val="Normal"/>
        <w:numPr>
          <w:ilvl w:val="0"/>
          <w:numId w:val="0"/>
        </w:numPr>
        <w:ind w:hanging="0" w:start="2448" w:end="0"/>
        <w:rPr>
          <w:color w:val="000000"/>
        </w:rPr>
      </w:pPr>
      <w:r>
        <w:rPr>
          <w:color w:val="000000"/>
        </w:rPr>
      </w:r>
    </w:p>
    <w:p>
      <w:pPr>
        <w:pStyle w:val="Normal"/>
        <w:numPr>
          <w:ilvl w:val="0"/>
          <w:numId w:val="1"/>
        </w:numPr>
        <w:tabs>
          <w:tab w:val="clear" w:pos="720"/>
          <w:tab w:val="left" w:pos="0" w:leader="none"/>
          <w:tab w:val="left" w:pos="2448" w:leader="none"/>
        </w:tabs>
        <w:ind w:hanging="360" w:start="3168" w:end="0"/>
        <w:rPr/>
      </w:pPr>
      <w:r>
        <w:rPr>
          <w:color w:val="000000"/>
        </w:rPr>
        <w:t xml:space="preserve">The arithmetic average of the median of the high and low of the </w:t>
      </w:r>
      <w:r>
        <w:rPr>
          <w:color w:val="000000"/>
          <w:u w:val="single"/>
        </w:rPr>
        <w:t>Day Rate Range ($)</w:t>
      </w:r>
      <w:r>
        <w:rPr>
          <w:color w:val="000000"/>
        </w:rPr>
        <w:t xml:space="preserve"> for the </w:t>
      </w:r>
      <w:r>
        <w:rPr>
          <w:color w:val="000000"/>
          <w:u w:val="single"/>
        </w:rPr>
        <w:t>Rigtype</w:t>
      </w:r>
      <w:r>
        <w:rPr>
          <w:color w:val="000000"/>
        </w:rPr>
        <w:t xml:space="preserve"> listed as JU-Over 300'-IC  in the issue of </w:t>
      </w:r>
      <w:r>
        <w:rPr>
          <w:i/>
          <w:iCs/>
          <w:color w:val="000000"/>
        </w:rPr>
        <w:t>Offshore Data Services Gulf of Mexico Weekly Rig Locator</w:t>
      </w:r>
      <w:r>
        <w:rPr>
          <w:color w:val="000000"/>
        </w:rPr>
        <w:t>, Gulf of Mexico Rig Utilization and Day Rates each Friday in the Determination Period.</w:t>
      </w:r>
    </w:p>
    <w:p>
      <w:pPr>
        <w:pStyle w:val="Normal"/>
        <w:ind w:start="2448" w:end="0"/>
        <w:rPr>
          <w:color w:val="000000"/>
        </w:rPr>
      </w:pPr>
      <w:r>
        <w:rPr>
          <w:color w:val="000000"/>
        </w:rPr>
      </w:r>
    </w:p>
    <w:p>
      <w:pPr>
        <w:pStyle w:val="Normal"/>
        <w:ind w:hanging="2448" w:start="2448" w:end="0"/>
        <w:rPr/>
      </w:pPr>
      <w:r>
        <w:rPr/>
        <w:t>Total Premium:</w:t>
        <w:tab/>
        <w:t>$______________________</w:t>
      </w:r>
    </w:p>
    <w:p>
      <w:pPr>
        <w:pStyle w:val="Normal"/>
        <w:ind w:hanging="2448" w:start="2448" w:end="0"/>
        <w:rPr/>
      </w:pPr>
      <w:r>
        <w:rPr/>
      </w:r>
    </w:p>
    <w:p>
      <w:pPr>
        <w:pStyle w:val="Normal"/>
        <w:ind w:hanging="2448" w:start="2448" w:end="0"/>
        <w:rPr/>
      </w:pPr>
      <w:r>
        <w:rPr/>
        <w:t>Premium Payment Date:</w:t>
        <w:tab/>
        <w:t>[Two Business Days after the Trade Date]</w:t>
      </w:r>
    </w:p>
    <w:p>
      <w:pPr>
        <w:pStyle w:val="Normal"/>
        <w:ind w:hanging="2448" w:start="2448" w:end="0"/>
        <w:rPr/>
      </w:pPr>
      <w:r>
        <w:rPr/>
      </w:r>
    </w:p>
    <w:p>
      <w:pPr>
        <w:pStyle w:val="Normal"/>
        <w:ind w:hanging="2448" w:start="2448" w:end="0"/>
        <w:rPr/>
      </w:pPr>
      <w:r>
        <w:rPr/>
        <w:t>Settlement:</w:t>
        <w:tab/>
        <w:t>Cash Settlement Applicable.</w:t>
      </w:r>
    </w:p>
    <w:p>
      <w:pPr>
        <w:pStyle w:val="Normal"/>
        <w:ind w:hanging="2448" w:start="2448" w:end="0"/>
        <w:rPr/>
      </w:pPr>
      <w:r>
        <w:rPr/>
      </w:r>
    </w:p>
    <w:p>
      <w:pPr>
        <w:pStyle w:val="Normal"/>
        <w:ind w:start="2448" w:end="0"/>
        <w:rPr/>
      </w:pPr>
      <w:r>
        <w:rPr/>
        <w:t>Monthly on the date five days after the Floating Price is determinable, as follows:</w:t>
      </w:r>
    </w:p>
    <w:p>
      <w:pPr>
        <w:pStyle w:val="Normal"/>
        <w:ind w:hanging="2448" w:start="2448" w:end="0"/>
        <w:rPr/>
      </w:pPr>
      <w:r>
        <w:rPr/>
      </w:r>
    </w:p>
    <w:p>
      <w:pPr>
        <w:pStyle w:val="Normal"/>
        <w:ind w:hanging="2448" w:start="2448" w:end="0"/>
        <w:rPr/>
      </w:pPr>
      <w:r>
        <w:rPr/>
        <w:tab/>
        <w:t>Cash Settlement Amount = Notional Quantity x (Floating Price – Strike Price).  If the Strike Price is greater than the Floating Price for a Determination Period, then no payment shall be due with respect to such Determination Period.</w:t>
      </w:r>
    </w:p>
    <w:p>
      <w:pPr>
        <w:pStyle w:val="Normal"/>
        <w:ind w:hanging="2448" w:start="2448" w:end="0"/>
        <w:rPr/>
      </w:pPr>
      <w:r>
        <w:rPr/>
      </w:r>
    </w:p>
    <w:p>
      <w:pPr>
        <w:pStyle w:val="Normal"/>
        <w:ind w:hanging="2448" w:start="2448" w:end="0"/>
        <w:rPr/>
      </w:pPr>
      <w:r>
        <w:rPr/>
        <w:t>Documentation:</w:t>
        <w:tab/>
        <w:t>ISDA Master Agreement or other satisfactory documentation.</w:t>
      </w:r>
    </w:p>
    <w:p>
      <w:pPr>
        <w:pStyle w:val="Normal"/>
        <w:ind w:hanging="2448" w:start="2448" w:end="0"/>
        <w:rPr/>
      </w:pPr>
      <w:r>
        <w:rPr/>
      </w:r>
    </w:p>
    <w:p>
      <w:pPr>
        <w:pStyle w:val="Normal"/>
        <w:rPr>
          <w:b/>
          <w:bCs/>
          <w:sz w:val="20"/>
          <w:szCs w:val="20"/>
          <w:u w:val="single"/>
        </w:rPr>
      </w:pPr>
      <w:r>
        <w:rPr>
          <w:b/>
          <w:bCs/>
          <w:sz w:val="20"/>
          <w:szCs w:val="20"/>
          <w:u w:val="single"/>
        </w:rPr>
        <w:t>CONFIDENTIALITY</w:t>
      </w:r>
    </w:p>
    <w:p>
      <w:pPr>
        <w:pStyle w:val="Normal"/>
        <w:rPr>
          <w:b/>
          <w:bCs/>
          <w:sz w:val="20"/>
          <w:szCs w:val="20"/>
          <w:u w:val="single"/>
        </w:rPr>
      </w:pPr>
      <w:r>
        <w:rPr>
          <w:b/>
          <w:bCs/>
          <w:sz w:val="20"/>
          <w:szCs w:val="20"/>
          <w:u w:val="single"/>
        </w:rPr>
      </w:r>
    </w:p>
    <w:p>
      <w:pPr>
        <w:pStyle w:val="Normal"/>
        <w:jc w:val="both"/>
        <w:rPr>
          <w:sz w:val="20"/>
          <w:szCs w:val="20"/>
        </w:rPr>
      </w:pPr>
      <w:r>
        <w:rPr>
          <w:sz w:val="20"/>
          <w:szCs w:val="20"/>
        </w:rPr>
        <w:t>This Term Sheet contains confidential, proprietary and trade secret information of ENA and is not to be disclosed to any third party, except with the express written consent of ENA.</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b/>
          <w:bCs/>
          <w:sz w:val="20"/>
          <w:szCs w:val="20"/>
        </w:rPr>
      </w:pPr>
      <w:r>
        <w:rPr>
          <w:b/>
          <w:bCs/>
          <w:sz w:val="20"/>
          <w:szCs w:val="20"/>
        </w:rPr>
        <w:t>This term sheet contains indicative terms only and is not intended to create a binding or enforceable contract nor is it an offer or commitment to enter into any transaction.  All terms are subject to change until agreement as to a specific transaction has been reached. ENA is not acting as a fiduciary or advisor and you should evaluate and understand the terms, conditions, and risks of all transactions in making your decisions with respect thereto.  The proposal described herein is subject to further review and approval by ENA and Counterparty and execution by ENA and Counterparty of definitive agreements containing all appropriate provisions, including those related to credit, limitations of damages and others.</w:t>
      </w:r>
    </w:p>
    <w:p>
      <w:pPr>
        <w:pStyle w:val="Normal"/>
        <w:rPr>
          <w:b/>
          <w:bCs/>
          <w:sz w:val="20"/>
          <w:szCs w:val="20"/>
        </w:rPr>
      </w:pPr>
      <w:r>
        <w:rPr>
          <w:b/>
          <w:bCs/>
          <w:sz w:val="20"/>
          <w:szCs w:val="20"/>
        </w:rPr>
      </w:r>
    </w:p>
    <w:sectPr>
      <w:type w:val="nextPage"/>
      <w:pgSz w:w="12240" w:h="15840"/>
      <w:pgMar w:left="1584" w:right="1152"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2000-06-23T14:04:00Z</dcterms:created>
  <dc:creator>mtaylor</dc:creator>
  <dc:description/>
  <dc:language>en-CA</dc:language>
  <cp:lastModifiedBy>mtaylo1</cp:lastModifiedBy>
  <cp:lastPrinted>2000-06-23T12:34:00Z</cp:lastPrinted>
  <dcterms:modified xsi:type="dcterms:W3CDTF">2000-06-23T15:09:00Z</dcterms:modified>
  <cp:revision>3</cp:revision>
  <dc:subject/>
  <dc:title>ENRON CAPITAL &amp; TRADE RESOURCES</dc:title>
</cp:coreProperties>
</file>