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1440" w:end="0"/>
        <w:jc w:val="center"/>
        <w:rPr>
          <w:u w:val="single"/>
        </w:rPr>
      </w:pPr>
      <w:r>
        <w:rPr>
          <w:u w:val="single"/>
        </w:rPr>
        <w:t>Riders to Turbine Contract (re Purchaser Indemnity)</w:t>
      </w:r>
    </w:p>
    <w:p>
      <w:pPr>
        <w:pStyle w:val="Normal"/>
        <w:ind w:hanging="720" w:start="1440" w:end="0"/>
        <w:jc w:val="both"/>
        <w:rPr>
          <w:u w:val="single"/>
        </w:rPr>
      </w:pPr>
      <w:r>
        <w:rPr>
          <w:u w:val="single"/>
        </w:rPr>
      </w:r>
    </w:p>
    <w:p>
      <w:pPr>
        <w:pStyle w:val="Normal"/>
        <w:ind w:hanging="720" w:start="1440" w:end="0"/>
        <w:jc w:val="both"/>
        <w:rPr>
          <w:u w:val="single"/>
        </w:rPr>
      </w:pPr>
      <w:r>
        <w:rPr>
          <w:u w:val="single"/>
        </w:rPr>
      </w:r>
    </w:p>
    <w:p>
      <w:pPr>
        <w:pStyle w:val="Normal"/>
        <w:ind w:hanging="720" w:start="1440" w:end="0"/>
        <w:jc w:val="both"/>
        <w:rPr>
          <w:u w:val="single"/>
        </w:rPr>
      </w:pPr>
      <w:r>
        <w:rPr>
          <w:u w:val="single"/>
        </w:rPr>
        <w:t>Section 20.1(b)</w:t>
      </w:r>
    </w:p>
    <w:p>
      <w:pPr>
        <w:pStyle w:val="Normal"/>
        <w:ind w:hanging="720" w:start="1440" w:end="0"/>
        <w:jc w:val="both"/>
        <w:rPr>
          <w:u w:val="single"/>
        </w:rPr>
      </w:pPr>
      <w:r>
        <w:rPr>
          <w:u w:val="single"/>
        </w:rPr>
      </w:r>
    </w:p>
    <w:p>
      <w:pPr>
        <w:pStyle w:val="Normal"/>
        <w:ind w:hanging="720" w:start="1440" w:end="0"/>
        <w:jc w:val="both"/>
        <w:rPr/>
      </w:pPr>
      <w:r>
        <w:rPr/>
        <w:tab/>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w:t>
      </w:r>
      <w:bookmarkStart w:id="0" w:name="QuickMark"/>
      <w:bookmarkEnd w:id="0"/>
      <w:r>
        <w:rPr/>
        <w:t xml:space="preserve"> (the “Seller Claimant”), based upon, or arising out of (i) Purchaser’s breach of its payment obligations under this Agreement, or (ii) any claims caused by or resulting from (A)  Agent’s negligent actions or failure to act while in possession or control of the Equipment, or (B) the fraud, misapplication of funds, illegal acts or willful misconduct of Purchaser or Agent; provided, however, that Purchaser’s contractual obligation of indemnification shall not extend to the percentage of the Seller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Normal"/>
        <w:ind w:hanging="720" w:start="1440" w:end="0"/>
        <w:jc w:val="both"/>
        <w:rPr/>
      </w:pPr>
      <w:r>
        <w:rPr/>
      </w:r>
    </w:p>
    <w:p>
      <w:pPr>
        <w:pStyle w:val="Normal"/>
        <w:ind w:hanging="720" w:start="1440" w:end="0"/>
        <w:jc w:val="both"/>
        <w:rPr/>
      </w:pPr>
      <w:r>
        <w:rPr/>
      </w:r>
    </w:p>
    <w:p>
      <w:pPr>
        <w:pStyle w:val="Normal"/>
        <w:ind w:hanging="720" w:start="1440" w:end="0"/>
        <w:jc w:val="both"/>
        <w:rPr>
          <w:u w:val="single"/>
        </w:rPr>
      </w:pPr>
      <w:r>
        <w:rPr>
          <w:u w:val="single"/>
        </w:rPr>
        <w:t>Section 20.1(c)(iii)</w:t>
      </w:r>
    </w:p>
    <w:p>
      <w:pPr>
        <w:pStyle w:val="Normal"/>
        <w:ind w:hanging="720" w:start="2160" w:end="0"/>
        <w:jc w:val="both"/>
        <w:rPr>
          <w:u w:val="single"/>
        </w:rPr>
      </w:pPr>
      <w:r>
        <w:rPr>
          <w:u w:val="single"/>
        </w:rPr>
      </w:r>
    </w:p>
    <w:p>
      <w:pPr>
        <w:pStyle w:val="Normal"/>
        <w:ind w:hanging="720" w:start="2160" w:end="0"/>
        <w:jc w:val="both"/>
        <w:rPr/>
      </w:pPr>
      <w:r>
        <w:rPr/>
        <w:tab/>
        <w:t>if the indemnitor is the Purchaser and (A) at the time that any claim is made by Seller against Purchaser for any amounts pursuant to this Article XX there is an Agent party hereto, and (B) such claim is for indemnification pursuant to clause (ii) of Section 20.1(b) hereof, then the Purchaser shall have first received payment in full from the Agent of such amounts (it being understood and agreed that until such time as Purchaser receives such amounts from Agent, no amounts shall be due and payable by Purchaser to Seller pursuant to this Article XX).</w:t>
      </w:r>
    </w:p>
    <w:p>
      <w:pPr>
        <w:pStyle w:val="Normal"/>
        <w:ind w:hanging="720" w:start="2160" w:end="0"/>
        <w:jc w:val="both"/>
        <w:rPr/>
      </w:pPr>
      <w:r>
        <w:rPr/>
      </w:r>
    </w:p>
    <w:p>
      <w:pPr>
        <w:pStyle w:val="Normal"/>
        <w:ind w:hanging="720" w:start="2160" w:end="0"/>
        <w:jc w:val="both"/>
        <w:rPr/>
      </w:pPr>
      <w:r>
        <w:rPr/>
      </w:r>
    </w:p>
    <w:p>
      <w:pPr>
        <w:pStyle w:val="Normal"/>
        <w:ind w:hanging="720" w:start="2160" w:end="0"/>
        <w:jc w:val="both"/>
        <w:rPr/>
      </w:pPr>
      <w:r>
        <w:rPr/>
      </w:r>
    </w:p>
    <w:p>
      <w:pPr>
        <w:pStyle w:val="Normal"/>
        <w:tabs>
          <w:tab w:val="clear" w:pos="720"/>
          <w:tab w:val="left" w:pos="0" w:leader="none"/>
        </w:tabs>
        <w:ind w:hanging="720" w:start="1440" w:end="0"/>
        <w:jc w:val="both"/>
        <w:rPr>
          <w:u w:val="single"/>
        </w:rPr>
      </w:pPr>
      <w:r>
        <w:rPr>
          <w:u w:val="single"/>
        </w:rPr>
      </w:r>
    </w:p>
    <w:p>
      <w:pPr>
        <w:pStyle w:val="Normal"/>
        <w:tabs>
          <w:tab w:val="clear" w:pos="720"/>
          <w:tab w:val="left" w:pos="0" w:leader="none"/>
        </w:tabs>
        <w:ind w:hanging="720" w:start="1440" w:end="0"/>
        <w:jc w:val="both"/>
        <w:rPr>
          <w:u w:val="single"/>
        </w:rPr>
      </w:pPr>
      <w:r>
        <w:rPr>
          <w:u w:val="single"/>
        </w:rPr>
        <w:t>Section 20.1(e)</w:t>
      </w:r>
    </w:p>
    <w:p>
      <w:pPr>
        <w:pStyle w:val="Normal"/>
        <w:tabs>
          <w:tab w:val="clear" w:pos="720"/>
          <w:tab w:val="left" w:pos="0" w:leader="none"/>
        </w:tabs>
        <w:ind w:hanging="720" w:start="1440" w:end="0"/>
        <w:jc w:val="both"/>
        <w:rPr/>
      </w:pPr>
      <w:r>
        <w:rPr/>
      </w:r>
    </w:p>
    <w:p>
      <w:pPr>
        <w:pStyle w:val="Normal"/>
        <w:tabs>
          <w:tab w:val="clear" w:pos="720"/>
          <w:tab w:val="left" w:pos="0" w:leader="none"/>
        </w:tabs>
        <w:ind w:hanging="720" w:start="1440" w:end="0"/>
        <w:jc w:val="both"/>
        <w:rPr/>
      </w:pPr>
      <w:r>
        <w:rPr/>
        <w:tab/>
        <w:t>The Purchaser agrees that upon receipt of any written Notice from the Seller asserting an indemnity claim described in Section 20.1(d)(iii) hereof, the Purchaser shall (i) promptly deliver a copy of such Notice to the Agent and (ii) enforce through the arbitration provisions set forth in Article XXVI hereof any and all indemnification rights it may have against the Agent to obtain payment from such Agent of any amounts claimed in such Notice.  Upon receipt of any such payments from the Agent, the Purchaser shall deliver such amounts to Seller in accordance with this Article XX.</w:t>
      </w:r>
    </w:p>
    <w:p>
      <w:pPr>
        <w:pStyle w:val="Normal"/>
        <w:tabs>
          <w:tab w:val="clear" w:pos="720"/>
          <w:tab w:val="left" w:pos="0" w:leader="none"/>
        </w:tabs>
        <w:ind w:hanging="720" w:start="1440" w:end="0"/>
        <w:jc w:val="both"/>
        <w:rPr/>
      </w:pPr>
      <w:r>
        <w:rPr/>
      </w:r>
    </w:p>
    <w:p>
      <w:pPr>
        <w:pStyle w:val="Normal"/>
        <w:tabs>
          <w:tab w:val="clear" w:pos="720"/>
          <w:tab w:val="left" w:pos="0" w:leader="none"/>
        </w:tabs>
        <w:ind w:hanging="720" w:start="1440" w:end="0"/>
        <w:jc w:val="both"/>
        <w:rPr/>
      </w:pPr>
      <w:r>
        <w:rPr/>
      </w:r>
    </w:p>
    <w:p>
      <w:pPr>
        <w:pStyle w:val="Normal"/>
        <w:tabs>
          <w:tab w:val="clear" w:pos="720"/>
          <w:tab w:val="left" w:pos="0" w:leader="none"/>
        </w:tabs>
        <w:ind w:hanging="720" w:start="1440" w:end="0"/>
        <w:jc w:val="both"/>
        <w:rPr>
          <w:u w:val="single"/>
        </w:rPr>
      </w:pPr>
      <w:r>
        <w:rPr>
          <w:u w:val="single"/>
        </w:rPr>
        <w:t>Section 23.3</w:t>
      </w:r>
    </w:p>
    <w:p>
      <w:pPr>
        <w:pStyle w:val="Normal"/>
        <w:tabs>
          <w:tab w:val="clear" w:pos="720"/>
          <w:tab w:val="left" w:pos="0" w:leader="none"/>
        </w:tabs>
        <w:ind w:hanging="720" w:start="1440" w:end="0"/>
        <w:jc w:val="both"/>
        <w:rPr/>
      </w:pPr>
      <w:r>
        <w:rPr/>
      </w:r>
    </w:p>
    <w:p>
      <w:pPr>
        <w:pStyle w:val="Normal"/>
        <w:tabs>
          <w:tab w:val="clear" w:pos="720"/>
          <w:tab w:val="left" w:pos="0" w:leader="none"/>
        </w:tabs>
        <w:ind w:hanging="720" w:start="1440" w:end="0"/>
        <w:jc w:val="both"/>
        <w:rPr/>
      </w:pPr>
      <w:r>
        <w:rPr/>
        <w:t>[add to end of Section]</w:t>
      </w:r>
    </w:p>
    <w:p>
      <w:pPr>
        <w:pStyle w:val="Normal"/>
        <w:tabs>
          <w:tab w:val="clear" w:pos="720"/>
          <w:tab w:val="left" w:pos="0" w:leader="none"/>
        </w:tabs>
        <w:ind w:hanging="720" w:start="1440" w:end="0"/>
        <w:jc w:val="both"/>
        <w:rPr/>
      </w:pPr>
      <w:r>
        <w:rPr/>
      </w:r>
    </w:p>
    <w:p>
      <w:pPr>
        <w:pStyle w:val="Normal"/>
        <w:tabs>
          <w:tab w:val="clear" w:pos="720"/>
          <w:tab w:val="left" w:pos="0" w:leader="none"/>
        </w:tabs>
        <w:ind w:hanging="720" w:start="1440" w:end="0"/>
        <w:jc w:val="both"/>
        <w:rPr/>
      </w:pPr>
      <w:r>
        <w:rPr>
          <w:sz w:val="22"/>
        </w:rPr>
        <w:tab/>
      </w:r>
      <w:r>
        <w:rPr/>
        <w:t>, OR FOR THE AMOUNTS PAYABLE TO SELLER PURSUANT TO SECTION 20.1(B) HEREOF.</w:t>
      </w:r>
    </w:p>
    <w:p>
      <w:pPr>
        <w:pStyle w:val="Normal"/>
        <w:tabs>
          <w:tab w:val="clear" w:pos="720"/>
          <w:tab w:val="left" w:pos="0" w:leader="none"/>
        </w:tabs>
        <w:ind w:hanging="720" w:start="1440" w:end="0"/>
        <w:jc w:val="both"/>
        <w:rPr/>
      </w:pPr>
      <w:r>
        <w:rPr/>
      </w:r>
    </w:p>
    <w:p>
      <w:pPr>
        <w:pStyle w:val="Normal"/>
        <w:tabs>
          <w:tab w:val="clear" w:pos="720"/>
          <w:tab w:val="left" w:pos="0" w:leader="none"/>
        </w:tabs>
        <w:ind w:hanging="720" w:start="1440" w:end="0"/>
        <w:jc w:val="both"/>
        <w:rPr/>
      </w:pPr>
      <w:r>
        <w:rPr/>
      </w:r>
    </w:p>
    <w:p>
      <w:pPr>
        <w:pStyle w:val="Normal"/>
        <w:tabs>
          <w:tab w:val="clear" w:pos="720"/>
          <w:tab w:val="left" w:pos="0" w:leader="none"/>
        </w:tabs>
        <w:ind w:hanging="720" w:start="1440" w:end="0"/>
        <w:jc w:val="both"/>
        <w:rPr>
          <w:u w:val="single"/>
        </w:rPr>
      </w:pPr>
      <w:r>
        <w:rPr>
          <w:u w:val="single"/>
        </w:rPr>
        <w:t>Sections 26.4 and 26.5</w:t>
      </w:r>
    </w:p>
    <w:p>
      <w:pPr>
        <w:pStyle w:val="Normal"/>
        <w:spacing w:lineRule="auto" w:line="300"/>
        <w:ind w:hanging="720" w:start="720" w:end="0"/>
        <w:jc w:val="both"/>
        <w:rPr/>
      </w:pPr>
      <w:r>
        <w:rPr/>
      </w:r>
    </w:p>
    <w:p>
      <w:pPr>
        <w:pStyle w:val="Normal"/>
        <w:spacing w:lineRule="auto" w:line="300"/>
        <w:ind w:hanging="720" w:start="720" w:end="0"/>
        <w:jc w:val="both"/>
        <w:rPr/>
      </w:pPr>
      <w:r>
        <w:rPr/>
        <w:tab/>
        <w:t xml:space="preserve">26.4  </w:t>
      </w:r>
      <w:r>
        <w:rPr>
          <w:u w:val="single"/>
        </w:rPr>
        <w:t>Resolution of Certain Purchaser-Agent Disputes</w:t>
      </w:r>
      <w:r>
        <w:fldChar w:fldCharType="begin"/>
      </w:r>
      <w:r>
        <w:rPr/>
        <w:instrText xml:space="preserve"> TC "26.4  Resolution of Certain Purchaser-Agent Disputes" \l 2 </w:instrText>
      </w:r>
      <w:r>
        <w:rPr/>
        <w:fldChar w:fldCharType="separate"/>
      </w:r>
      <w:r>
        <w:rPr/>
      </w:r>
      <w:r>
        <w:rPr/>
        <w:fldChar w:fldCharType="end"/>
      </w:r>
      <w:r>
        <w:rPr>
          <w:u w:val="single"/>
        </w:rPr>
        <w:t>.</w:t>
      </w:r>
      <w:r>
        <w:rPr/>
        <w:t xml:space="preserve">  Notwithstanding any provision to the contrary set forth in this agreement or any other agreement to which Purchaser and Agent are parties, in the event that any dispute or disagreement arises out of the implementation or enforcement of the indemnification rights referred to in Section 20.1 (e), and such dispute or disagreement is not resolved in accordance with Section 26.1, then:</w:t>
      </w:r>
    </w:p>
    <w:p>
      <w:pPr>
        <w:pStyle w:val="Normal"/>
        <w:spacing w:lineRule="auto" w:line="300"/>
        <w:jc w:val="both"/>
        <w:rPr/>
      </w:pPr>
      <w:r>
        <w:rPr/>
      </w:r>
    </w:p>
    <w:p>
      <w:pPr>
        <w:pStyle w:val="Normal"/>
        <w:tabs>
          <w:tab w:val="clear" w:pos="720"/>
          <w:tab w:val="left" w:pos="-1440" w:leader="none"/>
        </w:tabs>
        <w:spacing w:lineRule="auto" w:line="300"/>
        <w:ind w:hanging="720" w:start="1440" w:end="0"/>
        <w:jc w:val="both"/>
        <w:rPr/>
      </w:pPr>
      <w:r>
        <w:rPr/>
        <w:t>(a)</w:t>
        <w:tab/>
        <w:t>either the Purchaser or the Agent may submit the dispute to arbitration in accordance with the provisions of Section 26.2 and such Section and Section 26.3 shall apply to such dispute or disagreement (but only to such dispute or disagreement) between the Purchaser and Agent, and for purposes of applying such Section to the Purchaser and Agent each reference to Seller set forth in such Section and in Section 26.3 shall be deemed a reference to Agent; and</w:t>
      </w:r>
    </w:p>
    <w:p>
      <w:pPr>
        <w:pStyle w:val="Normal"/>
        <w:spacing w:lineRule="auto" w:line="300"/>
        <w:jc w:val="both"/>
        <w:rPr/>
      </w:pPr>
      <w:r>
        <w:rPr/>
      </w:r>
    </w:p>
    <w:p>
      <w:pPr>
        <w:pStyle w:val="Normal"/>
        <w:tabs>
          <w:tab w:val="clear" w:pos="720"/>
          <w:tab w:val="left" w:pos="-1440" w:leader="none"/>
        </w:tabs>
        <w:spacing w:lineRule="auto" w:line="300"/>
        <w:ind w:hanging="720" w:start="1440" w:end="0"/>
        <w:jc w:val="both"/>
        <w:rPr/>
      </w:pPr>
      <w:r>
        <w:rPr/>
        <w:t>(b)</w:t>
        <w:tab/>
        <w:t>any arbitration proceeding referred to in Section 26.4 (a) shall be deemed a Related Dispute hereunder.</w:t>
      </w:r>
    </w:p>
    <w:p>
      <w:pPr>
        <w:pStyle w:val="Normal"/>
        <w:spacing w:lineRule="auto" w:line="300"/>
        <w:ind w:hanging="720" w:start="720" w:end="0"/>
        <w:jc w:val="both"/>
        <w:rPr/>
      </w:pPr>
      <w:r>
        <w:rPr/>
      </w:r>
    </w:p>
    <w:p>
      <w:pPr>
        <w:pStyle w:val="Normal"/>
        <w:spacing w:lineRule="auto" w:line="300"/>
        <w:ind w:hanging="720" w:start="720" w:end="0"/>
        <w:jc w:val="both"/>
        <w:rPr/>
      </w:pPr>
      <w:r>
        <w:rPr/>
        <w:tab/>
        <w:t xml:space="preserve">26.5   </w:t>
      </w:r>
      <w:r>
        <w:rPr>
          <w:u w:val="single"/>
        </w:rPr>
        <w:t>Limitation on Power of Arbitrators</w:t>
      </w:r>
      <w:r>
        <w:fldChar w:fldCharType="begin"/>
      </w:r>
      <w:r>
        <w:rPr/>
        <w:instrText xml:space="preserve"> TC "26.5   Limitation on Power of Arbitrators" \l 2 </w:instrText>
      </w:r>
      <w:r>
        <w:rPr/>
        <w:fldChar w:fldCharType="separate"/>
      </w:r>
      <w:r>
        <w:rPr/>
      </w:r>
      <w:r>
        <w:rPr/>
        <w:fldChar w:fldCharType="end"/>
      </w:r>
      <w:r>
        <w:rPr>
          <w:u w:val="single"/>
        </w:rPr>
        <w:t>.</w:t>
      </w:r>
      <w:r>
        <w:rPr/>
        <w:t xml:space="preserve">  In no event shall the arbitrators appointed hereunder in connection with any dispute or disagreement between Seller and Purchaser at any time (including, without limitation, following the joinder of any Related Dispute between Purchaser and Agent with any arbitration proceeding pending with respect such Seller and Purchaser dispute or disagreement) have the power or authority to render a decision, make any award or grant any relief of any nature whatsoever in favor of Seller against Agent, and any attempt shall be void </w:t>
      </w:r>
      <w:r>
        <w:rPr>
          <w:u w:val="single"/>
        </w:rPr>
        <w:t>ab</w:t>
      </w:r>
      <w:r>
        <w:rPr/>
        <w:t xml:space="preserve"> </w:t>
      </w:r>
      <w:r>
        <w:rPr>
          <w:u w:val="single"/>
        </w:rPr>
        <w:t>initio</w:t>
      </w:r>
      <w:r>
        <w:rPr/>
        <w:t>.</w:t>
      </w:r>
    </w:p>
    <w:p>
      <w:pPr>
        <w:pStyle w:val="Normal"/>
        <w:tabs>
          <w:tab w:val="clear" w:pos="720"/>
          <w:tab w:val="left" w:pos="0" w:leader="none"/>
        </w:tabs>
        <w:ind w:hanging="720" w:start="1440" w:end="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567037-1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2000-08-09T14:56:00Z</dcterms:created>
  <dc:creator>A&amp;K</dc:creator>
  <dc:description/>
  <dc:language>en-CA</dc:language>
  <cp:lastModifiedBy>A&amp;K</cp:lastModifiedBy>
  <cp:lastPrinted>2000-08-09T12:24:00Z</cp:lastPrinted>
  <dcterms:modified xsi:type="dcterms:W3CDTF">2000-08-09T14:56:00Z</dcterms:modified>
  <cp:revision>2</cp:revision>
  <dc:subject/>
  <dc:title>Rider </dc:title>
</cp:coreProperties>
</file>