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u w:val="single"/>
        </w:rPr>
      </w:pPr>
      <w:r>
        <w:rPr>
          <w:u w:val="single"/>
        </w:rPr>
        <w:t>Inserts for Purchase and Sale Agreement Schedules</w:t>
      </w:r>
    </w:p>
    <w:p>
      <w:pPr>
        <w:pStyle w:val="Normal"/>
        <w:rPr/>
      </w:pPr>
      <w:r>
        <w:rPr/>
      </w:r>
    </w:p>
    <w:p>
      <w:pPr>
        <w:pStyle w:val="Normal"/>
        <w:rPr/>
      </w:pPr>
      <w:r>
        <w:rPr/>
      </w:r>
    </w:p>
    <w:p>
      <w:pPr>
        <w:pStyle w:val="Normal"/>
        <w:rPr/>
      </w:pPr>
      <w:r>
        <w:rPr/>
      </w:r>
    </w:p>
    <w:p>
      <w:pPr>
        <w:pStyle w:val="Normal"/>
        <w:rPr/>
      </w:pPr>
      <w:r>
        <w:rPr>
          <w:u w:val="single"/>
        </w:rPr>
        <w:t>Schedules 3.1(d) and (n)</w:t>
      </w:r>
      <w:r>
        <w:rPr/>
        <w:t>:</w:t>
      </w:r>
    </w:p>
    <w:p>
      <w:pPr>
        <w:pStyle w:val="Normal"/>
        <w:rPr/>
      </w:pPr>
      <w:r>
        <w:rPr/>
      </w:r>
    </w:p>
    <w:p>
      <w:pPr>
        <w:pStyle w:val="Normal"/>
        <w:rPr/>
      </w:pPr>
      <w:r>
        <w:rPr/>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rPr/>
      </w:pPr>
      <w:r>
        <w:rPr/>
      </w:r>
    </w:p>
    <w:p>
      <w:pPr>
        <w:pStyle w:val="Normal"/>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rPr/>
      </w:pPr>
      <w:r>
        <w:rPr/>
      </w:r>
    </w:p>
    <w:p>
      <w:pPr>
        <w:pStyle w:val="Normal"/>
        <w:rPr/>
      </w:pPr>
      <w:r>
        <w:rPr/>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rPr/>
      </w:pPr>
      <w:r>
        <w:rPr/>
      </w:r>
    </w:p>
    <w:p>
      <w:pPr>
        <w:pStyle w:val="Normal"/>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rPr/>
      </w:pPr>
      <w:r>
        <w:rPr/>
      </w:r>
    </w:p>
    <w:p>
      <w:pPr>
        <w:pStyle w:val="Normal"/>
        <w:rPr/>
      </w:pPr>
      <w:r>
        <w:rPr/>
      </w:r>
    </w:p>
    <w:p>
      <w:pPr>
        <w:pStyle w:val="Normal"/>
        <w:rPr/>
      </w:pPr>
      <w:r>
        <w:rPr>
          <w:u w:val="single"/>
        </w:rPr>
        <w:t>Schedule 3.1(q)</w:t>
      </w:r>
      <w:r>
        <w:rPr/>
        <w:t>:</w:t>
      </w:r>
    </w:p>
    <w:p>
      <w:pPr>
        <w:pStyle w:val="Normal"/>
        <w:rPr/>
      </w:pPr>
      <w:r>
        <w:rPr/>
      </w:r>
    </w:p>
    <w:p>
      <w:pPr>
        <w:pStyle w:val="Normal"/>
        <w:rPr/>
      </w:pPr>
      <w:r>
        <w:rPr/>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rPr/>
      </w:pPr>
      <w:r>
        <w:rPr/>
      </w:r>
    </w:p>
    <w:p>
      <w:pPr>
        <w:pStyle w:val="Normal"/>
        <w:rPr/>
      </w:pPr>
      <w:r>
        <w:rPr/>
        <w:t xml:space="preserve">[Pursuant to the Pledge Agreement, dated as of September [__], 2000, between EWR and Barclays Bank PLC, as administrative agent,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rPr/>
      </w:pPr>
      <w:r>
        <w:rPr/>
      </w:r>
    </w:p>
    <w:p>
      <w:pPr>
        <w:pStyle w:val="Normal"/>
        <w:rPr/>
      </w:pPr>
      <w:r>
        <w:rPr/>
        <w:t>[insert bracketed language only if the Conversion Date under the Wind River Credit Agreement occurs prior to the Closing Date]</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571584.1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2000-08-25T18:57:00Z</dcterms:created>
  <dc:creator>A&amp;K</dc:creator>
  <dc:description/>
  <dc:language>en-CA</dc:language>
  <cp:lastModifiedBy>A&amp;K</cp:lastModifiedBy>
  <cp:lastPrinted>2000-08-25T16:26:00Z</cp:lastPrinted>
  <dcterms:modified xsi:type="dcterms:W3CDTF">2000-08-25T18:57:00Z</dcterms:modified>
  <cp:revision>2</cp:revision>
  <dc:subject/>
  <dc:title>Inserts for Purchase and Sale Agreement Schedules</dc:title>
</cp:coreProperties>
</file>