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u w:val="single"/>
        </w:rPr>
        <w:t>Rider A</w:t>
      </w:r>
      <w:r>
        <w:rPr/>
        <w:t>.</w:t>
      </w:r>
    </w:p>
    <w:p>
      <w:pPr>
        <w:pStyle w:val="Normal"/>
        <w:jc w:val="both"/>
        <w:rPr/>
      </w:pPr>
      <w:r>
        <w:rPr/>
      </w:r>
    </w:p>
    <w:p>
      <w:pPr>
        <w:pStyle w:val="BodyText"/>
        <w:rPr>
          <w:sz w:val="20"/>
        </w:rPr>
      </w:pPr>
      <w:r>
        <w:rPr>
          <w:sz w:val="20"/>
        </w:rPr>
        <w:t>regarding capital adequacy (except to the extent such request or directive arises as a result of the individual creditworthiness of the Trustee or the parties to the Financing of the Trustees' payment obligations under the [SWAP] (each a "Financing  Party")), has the effect of increasing the amount of capital required or expected to be maintained;</w:t>
      </w:r>
    </w:p>
    <w:p>
      <w:pPr>
        <w:pStyle w:val="Normal"/>
        <w:jc w:val="both"/>
        <w:rPr>
          <w:sz w:val="20"/>
        </w:rPr>
      </w:pPr>
      <w:r>
        <w:rPr>
          <w:sz w:val="20"/>
        </w:rPr>
      </w:r>
    </w:p>
    <w:p>
      <w:pPr>
        <w:pStyle w:val="Normal"/>
        <w:jc w:val="both"/>
        <w:rPr/>
      </w:pPr>
      <w:r>
        <w:rPr/>
      </w:r>
    </w:p>
    <w:p>
      <w:pPr>
        <w:pStyle w:val="Normal"/>
        <w:jc w:val="both"/>
        <w:rPr/>
      </w:pPr>
      <w:r>
        <w:rPr>
          <w:u w:val="single"/>
        </w:rPr>
        <w:t>Rider B</w:t>
      </w:r>
      <w:r>
        <w:rPr/>
        <w:t>.</w:t>
      </w:r>
    </w:p>
    <w:p>
      <w:pPr>
        <w:pStyle w:val="Normal"/>
        <w:jc w:val="both"/>
        <w:rPr/>
      </w:pPr>
      <w:r>
        <w:rPr/>
      </w:r>
    </w:p>
    <w:p>
      <w:pPr>
        <w:pStyle w:val="Normal"/>
        <w:jc w:val="both"/>
        <w:rPr/>
      </w:pPr>
      <w:r>
        <w:rPr/>
        <w:t>(which notice shall show in reasonable detail the calculation of such additional amounts as shall be required to compensate the Trustee for the increased cost to the Financing Parties as a result of such increase in capital and shall certify that such costs are generally being charged by the Financing Parties to borrowers under credit facilities)</w:t>
      </w:r>
    </w:p>
    <w:p>
      <w:pPr>
        <w:pStyle w:val="Normal"/>
        <w:jc w:val="both"/>
        <w:rPr/>
      </w:pPr>
      <w:r>
        <w:rPr/>
      </w:r>
    </w:p>
    <w:p>
      <w:pPr>
        <w:pStyle w:val="Normal"/>
        <w:jc w:val="both"/>
        <w:rPr/>
      </w:pPr>
      <w:r>
        <w:rPr/>
      </w:r>
    </w:p>
    <w:p>
      <w:pPr>
        <w:pStyle w:val="Normal"/>
        <w:jc w:val="both"/>
        <w:rPr/>
      </w:pPr>
      <w:r>
        <w:rPr>
          <w:u w:val="single"/>
        </w:rPr>
        <w:t>Rider C</w:t>
      </w:r>
      <w:r>
        <w:rPr/>
        <w:t>.</w:t>
      </w:r>
    </w:p>
    <w:p>
      <w:pPr>
        <w:pStyle w:val="Normal"/>
        <w:jc w:val="both"/>
        <w:rPr/>
      </w:pPr>
      <w:r>
        <w:rPr/>
      </w:r>
    </w:p>
    <w:p>
      <w:pPr>
        <w:pStyle w:val="Normal"/>
        <w:jc w:val="both"/>
        <w:rPr/>
      </w:pPr>
      <w:r>
        <w:rPr/>
        <w:t>unless such notice fails to set forth the information required above</w:t>
      </w:r>
    </w:p>
    <w:p>
      <w:pPr>
        <w:pStyle w:val="Normal"/>
        <w:jc w:val="both"/>
        <w:rPr/>
      </w:pPr>
      <w:r>
        <w:rPr/>
      </w:r>
    </w:p>
    <w:p>
      <w:pPr>
        <w:pStyle w:val="Normal"/>
        <w:jc w:val="both"/>
        <w:rPr/>
      </w:pPr>
      <w:r>
        <w:rPr/>
      </w:r>
    </w:p>
    <w:p>
      <w:pPr>
        <w:pStyle w:val="Normal"/>
        <w:jc w:val="both"/>
        <w:rPr/>
      </w:pPr>
      <w:r>
        <w:rPr>
          <w:u w:val="single"/>
        </w:rPr>
        <w:t>Rider D</w:t>
      </w:r>
      <w:r>
        <w:rPr/>
        <w:t>.</w:t>
      </w:r>
    </w:p>
    <w:p>
      <w:pPr>
        <w:pStyle w:val="Normal"/>
        <w:jc w:val="both"/>
        <w:rPr/>
      </w:pPr>
      <w:r>
        <w:rPr/>
      </w:r>
    </w:p>
    <w:p>
      <w:pPr>
        <w:pStyle w:val="Normal"/>
        <w:jc w:val="both"/>
        <w:rPr/>
      </w:pPr>
      <w:r>
        <w:rPr/>
        <w:t xml:space="preserve">No recovery for an increase in costs or taxes shall be made unless the Financing Parties shall use their best efforts (consistent with its internal policies and legal and regulatory restrictions) to select a jurisdiction for their applicable lending offices or change the jurisdiction of their applicable lending offices, as the case may be, so as to avoid the imposition of such increased costs or to eliminate the amount of any such increased cost which may thereafter accrue; </w:t>
      </w:r>
      <w:r>
        <w:rPr>
          <w:u w:val="single"/>
        </w:rPr>
        <w:t>provided</w:t>
      </w:r>
      <w:r>
        <w:rPr/>
        <w:t xml:space="preserve"> </w:t>
      </w:r>
      <w:r>
        <w:rPr>
          <w:u w:val="single"/>
        </w:rPr>
        <w:t>that</w:t>
      </w:r>
      <w:r>
        <w:rPr/>
        <w:t xml:space="preserve"> no such selection or change of the jurisdiction for their applicable lending office shall be made if, in the reasonable judgment of the Trustee, such selection or change would be disadvantageous to the Financing Party.</w:t>
      </w:r>
    </w:p>
    <w:p>
      <w:pPr>
        <w:pStyle w:val="Normal"/>
        <w:jc w:val="both"/>
        <w:rPr/>
      </w:pPr>
      <w:r>
        <w:rPr/>
      </w:r>
    </w:p>
    <w:p>
      <w:pPr>
        <w:pStyle w:val="Normal"/>
        <w:jc w:val="both"/>
        <w:rPr/>
      </w:pPr>
      <w:r>
        <w:rPr/>
      </w:r>
    </w:p>
    <w:p>
      <w:pPr>
        <w:pStyle w:val="Normal"/>
        <w:jc w:val="both"/>
        <w:rPr/>
      </w:pPr>
      <w:r>
        <w:rPr>
          <w:u w:val="single"/>
        </w:rPr>
        <w:t>Rider E</w:t>
      </w:r>
      <w:r>
        <w:rPr/>
        <w:t>.</w:t>
      </w:r>
    </w:p>
    <w:p>
      <w:pPr>
        <w:pStyle w:val="Normal"/>
        <w:jc w:val="both"/>
        <w:rPr/>
      </w:pPr>
      <w:r>
        <w:rPr/>
      </w:r>
    </w:p>
    <w:p>
      <w:pPr>
        <w:pStyle w:val="Normal"/>
        <w:jc w:val="both"/>
        <w:rPr/>
      </w:pPr>
      <w:r>
        <w:rPr/>
        <w:t>The Trustee shall not be entitled to recover increased costs pursuant to this Agreement incurred or accruing more than 90 days prior to the date on which the Trustee sent to Enron Canada a written notice and demand for payment as specified in this Agreement, or (b) to the extent that such increased costs have resulted from the failure of the Trustee to have complied with the immediately preceding paragraph.</w:t>
      </w:r>
    </w:p>
    <w:p>
      <w:pPr>
        <w:pStyle w:val="Normal"/>
        <w:jc w:val="both"/>
        <w:rPr/>
      </w:pPr>
      <w:r>
        <w:rPr/>
      </w:r>
    </w:p>
    <w:p>
      <w:pPr>
        <w:pStyle w:val="Normal"/>
        <w:jc w:val="both"/>
        <w:rPr/>
      </w:pPr>
      <w:r>
        <w:rPr/>
      </w:r>
    </w:p>
    <w:p>
      <w:pPr>
        <w:pStyle w:val="Normal"/>
        <w:jc w:val="both"/>
        <w:rPr/>
      </w:pPr>
      <w:r>
        <w:rPr>
          <w:u w:val="single"/>
        </w:rPr>
        <w:t>Rider F</w:t>
      </w:r>
      <w:r>
        <w:rPr/>
        <w:t>.</w:t>
      </w:r>
    </w:p>
    <w:p>
      <w:pPr>
        <w:pStyle w:val="Normal"/>
        <w:jc w:val="both"/>
        <w:rPr/>
      </w:pPr>
      <w:r>
        <w:rPr/>
      </w:r>
    </w:p>
    <w:p>
      <w:pPr>
        <w:pStyle w:val="Normal"/>
        <w:jc w:val="both"/>
        <w:rPr/>
      </w:pPr>
      <w:r>
        <w:rPr/>
        <w:t>shall exclude, in the case of each Financing Party and the Trustee, (1) taxes imposed on its income, and franchise taxes imposed on it, by the jurisdiction under the laws of which (or by a jurisdiction under the laws of a political subdivision of which) such Financing Party or Trustee (as the case may be) is organized or any political subdivision thereof and, in the case of each Financing Party, taxes imposed on its income, and franchise taxes imposed on it, by the jurisdiction of such Financing Party's applicable lending office or political subdivision thereof and (2) any taxes imposed by the United States of America by means of withholding at the source if and to the extent that such taxes shall be in effect and shall be applicable, on the date hereof (or, with respect to any entity that becomes a Financing Party after the date hereof, on the date such entity becomes a Financing Party), to payments to be made to such Financing Party or the Trustee.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/mnt/main-storage/datasets/enron-docs/doc/Riders-49653c1c63fedf5f411816b41e6d9740814323fcaf3c582567814e48d69ab485.doc</w:t>
    </w:r>
    <w:r>
      <w:rPr>
        <w:sz w:val="16"/>
        <w:lang w:eastAsia="en-US"/>
      </w:rPr>
      <w:fldChar w:fldCharType="end"/>
    </w:r>
  </w:p>
</w:ftr>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2000-09-20T13:08:00Z</dcterms:created>
  <dc:creator>jdorsey</dc:creator>
  <dc:description/>
  <dc:language>en-CA</dc:language>
  <cp:lastModifiedBy>jdorsey</cp:lastModifiedBy>
  <cp:lastPrinted>2000-09-21T13:23:00Z</cp:lastPrinted>
  <dcterms:modified xsi:type="dcterms:W3CDTF">2000-09-21T15:53:00Z</dcterms:modified>
  <cp:revision>5</cp:revision>
  <dc:subject/>
  <dc:title/>
</cp:coreProperties>
</file>