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Normal"/>
        <w:jc w:val="center"/>
        <w:rPr>
          <w:b/>
        </w:rPr>
      </w:pPr>
      <w:r>
        <w:rPr>
          <w:b/>
        </w:rPr>
        <w:t>ARM PROPOSAL FOR RESTRUCTURING THE RETAIL ELECTRIC MARKET</w:t>
      </w:r>
    </w:p>
    <w:p>
      <w:pPr>
        <w:pStyle w:val="Normal"/>
        <w:jc w:val="center"/>
        <w:rPr>
          <w:b/>
        </w:rPr>
      </w:pPr>
      <w:r>
        <w:rPr>
          <w:b/>
        </w:rPr>
      </w:r>
    </w:p>
    <w:p>
      <w:pPr>
        <w:pStyle w:val="Heading1"/>
        <w:ind w:hanging="0" w:start="0"/>
        <w:rPr>
          <w:b/>
          <w:u w:val="none"/>
        </w:rPr>
      </w:pPr>
      <w:r>
        <w:rPr>
          <w:b/>
          <w:u w:val="none"/>
        </w:rPr>
        <w:t>Principles</w:t>
      </w:r>
    </w:p>
    <w:p>
      <w:pPr>
        <w:pStyle w:val="Normal"/>
        <w:jc w:val="both"/>
        <w:rPr>
          <w:b/>
          <w:u w:val="none"/>
        </w:rPr>
      </w:pPr>
      <w:r>
        <w:rPr>
          <w:b/>
          <w:u w:val="none"/>
        </w:rPr>
      </w:r>
    </w:p>
    <w:p>
      <w:pPr>
        <w:pStyle w:val="BodyText"/>
        <w:rPr/>
      </w:pPr>
      <w:r>
        <w:rPr/>
        <w:t>The following four principles should guide policy makers in addressing the retail market issues that urgently need to be addressed in California:</w:t>
      </w:r>
    </w:p>
    <w:p>
      <w:pPr>
        <w:pStyle w:val="Normal"/>
        <w:jc w:val="both"/>
        <w:rPr/>
      </w:pPr>
      <w:r>
        <w:rPr/>
      </w:r>
    </w:p>
    <w:p>
      <w:pPr>
        <w:pStyle w:val="Normal"/>
        <w:numPr>
          <w:ilvl w:val="0"/>
          <w:numId w:val="2"/>
        </w:numPr>
        <w:rPr/>
      </w:pPr>
      <w:r>
        <w:rPr/>
        <w:t>Promote a robust retail market</w:t>
      </w:r>
    </w:p>
    <w:p>
      <w:pPr>
        <w:pStyle w:val="Normal"/>
        <w:ind w:start="720" w:end="0"/>
        <w:rPr/>
      </w:pPr>
      <w:r>
        <w:rPr/>
      </w:r>
    </w:p>
    <w:p>
      <w:pPr>
        <w:pStyle w:val="Normal"/>
        <w:numPr>
          <w:ilvl w:val="0"/>
          <w:numId w:val="2"/>
        </w:numPr>
        <w:rPr/>
      </w:pPr>
      <w:r>
        <w:rPr/>
        <w:t>Provide a reasonable default service to small consumers</w:t>
      </w:r>
    </w:p>
    <w:p>
      <w:pPr>
        <w:pStyle w:val="Normal"/>
        <w:ind w:start="720" w:end="0"/>
        <w:rPr/>
      </w:pPr>
      <w:r>
        <w:rPr/>
      </w:r>
    </w:p>
    <w:p>
      <w:pPr>
        <w:pStyle w:val="Normal"/>
        <w:numPr>
          <w:ilvl w:val="0"/>
          <w:numId w:val="2"/>
        </w:numPr>
        <w:rPr/>
      </w:pPr>
      <w:r>
        <w:rPr/>
        <w:t>Continue programs that protect of low-income consumers</w:t>
      </w:r>
    </w:p>
    <w:p>
      <w:pPr>
        <w:pStyle w:val="Normal"/>
        <w:ind w:start="720" w:end="0"/>
        <w:rPr/>
      </w:pPr>
      <w:r>
        <w:rPr/>
      </w:r>
    </w:p>
    <w:p>
      <w:pPr>
        <w:pStyle w:val="Normal"/>
        <w:numPr>
          <w:ilvl w:val="0"/>
          <w:numId w:val="2"/>
        </w:numPr>
        <w:rPr/>
      </w:pPr>
      <w:r>
        <w:rPr/>
        <w:t xml:space="preserve">Maintain reliability of the energy delivery system </w:t>
      </w:r>
    </w:p>
    <w:p>
      <w:pPr>
        <w:pStyle w:val="Normal"/>
        <w:jc w:val="both"/>
        <w:rPr/>
      </w:pPr>
      <w:r>
        <w:rPr/>
      </w:r>
    </w:p>
    <w:p>
      <w:pPr>
        <w:pStyle w:val="Normal"/>
        <w:jc w:val="both"/>
        <w:rPr/>
      </w:pPr>
      <w:r>
        <w:rPr/>
      </w:r>
    </w:p>
    <w:p>
      <w:pPr>
        <w:pStyle w:val="Heading2"/>
        <w:ind w:hanging="0" w:start="0"/>
        <w:rPr/>
      </w:pPr>
      <w:r>
        <w:rPr/>
        <w:t>The Proposal</w:t>
      </w:r>
    </w:p>
    <w:p>
      <w:pPr>
        <w:pStyle w:val="Normal"/>
        <w:jc w:val="both"/>
        <w:rPr>
          <w:b/>
        </w:rPr>
      </w:pPr>
      <w:r>
        <w:rPr>
          <w:b/>
        </w:rPr>
      </w:r>
    </w:p>
    <w:p>
      <w:pPr>
        <w:pStyle w:val="Heading1"/>
        <w:ind w:hanging="0" w:start="0"/>
        <w:rPr/>
      </w:pPr>
      <w:r>
        <w:rPr/>
        <w:t>Who Should be Eligible for Default Service?</w:t>
      </w:r>
    </w:p>
    <w:p>
      <w:pPr>
        <w:pStyle w:val="BodyText"/>
        <w:rPr/>
      </w:pPr>
      <w:r>
        <w:rPr/>
        <w:t>All residential and small commercial customers under 100 kW (50kW?).</w:t>
      </w:r>
    </w:p>
    <w:p>
      <w:pPr>
        <w:pStyle w:val="Normal"/>
        <w:jc w:val="both"/>
        <w:rPr/>
      </w:pPr>
      <w:r>
        <w:rPr/>
      </w:r>
    </w:p>
    <w:p>
      <w:pPr>
        <w:pStyle w:val="Heading1"/>
        <w:ind w:hanging="0" w:start="0"/>
        <w:rPr/>
      </w:pPr>
      <w:r>
        <w:rPr/>
        <w:t>How Should that Default Service Be Priced?</w:t>
      </w:r>
    </w:p>
    <w:p>
      <w:pPr>
        <w:pStyle w:val="BodyText"/>
        <w:rPr/>
      </w:pPr>
      <w:r>
        <w:rPr/>
        <w:t>It should be a fixed price service (in cents per kWh) approved by the CPUC and guaranteed for the period June 1 2001 through December 31, 2002.  SDG&amp;E shareholders shall be liable for any under recovery associated with the fixed price, no balancing accounts or later true ups.  SDG&amp;E shareholders will be beneficiaries if the utility can procure energy below the fixed price.</w:t>
      </w:r>
    </w:p>
    <w:p>
      <w:pPr>
        <w:pStyle w:val="BodyText"/>
        <w:rPr/>
      </w:pPr>
      <w:r>
        <w:rPr/>
      </w:r>
    </w:p>
    <w:p>
      <w:pPr>
        <w:pStyle w:val="BodyText"/>
        <w:rPr>
          <w:u w:val="single"/>
        </w:rPr>
      </w:pPr>
      <w:r>
        <w:rPr>
          <w:u w:val="single"/>
        </w:rPr>
        <w:t>Who Should Provide that Default Service?</w:t>
      </w:r>
    </w:p>
    <w:p>
      <w:pPr>
        <w:pStyle w:val="BodyText"/>
        <w:rPr/>
      </w:pPr>
      <w:r>
        <w:rPr/>
        <w:t xml:space="preserve">SDG&amp;E until December 31, 2002.  </w:t>
      </w:r>
    </w:p>
    <w:p>
      <w:pPr>
        <w:pStyle w:val="BodyText"/>
        <w:rPr/>
      </w:pPr>
      <w:r>
        <w:rPr/>
      </w:r>
    </w:p>
    <w:p>
      <w:pPr>
        <w:pStyle w:val="BodyText"/>
        <w:rPr/>
      </w:pPr>
      <w:r>
        <w:rPr/>
        <w:t>For the period after that, the service should be provided through competitive bidding, by one or more energy service providers that have been qualified by the CPUC to provide this service.  General terms and conditions of the service will be set by the CPUC in advance of the bidding.  CPUC will qualify bidders for operational and financial capability to provide default service and maintain ongoing oversight.  Regulatory scrutiny and oversight will be higher for default providers than non-default providers.  SDG&amp;E may not bid on providing default service.  Sempra affiliates may bid on providing default service.</w:t>
      </w:r>
    </w:p>
    <w:p>
      <w:pPr>
        <w:pStyle w:val="BodyText"/>
        <w:rPr/>
      </w:pPr>
      <w:r>
        <w:rPr/>
      </w:r>
    </w:p>
    <w:p>
      <w:pPr>
        <w:pStyle w:val="BodyText"/>
        <w:rPr>
          <w:u w:val="single"/>
        </w:rPr>
      </w:pPr>
      <w:r>
        <w:rPr>
          <w:u w:val="single"/>
        </w:rPr>
        <w:t>What Restrictions Should there Be on Procurement for Default Service?</w:t>
      </w:r>
    </w:p>
    <w:p>
      <w:pPr>
        <w:pStyle w:val="BodyText"/>
        <w:rPr/>
      </w:pPr>
      <w:r>
        <w:rPr/>
        <w:t>None.  Neither SDG&amp;E and later the competitive default provider(s) should be required to buy out of the PX or any other market.  They are responsible for meeting the retail price obligation.</w:t>
      </w:r>
    </w:p>
    <w:p>
      <w:pPr>
        <w:pStyle w:val="BodyText"/>
        <w:rPr/>
      </w:pPr>
      <w:r>
        <w:rPr/>
      </w:r>
    </w:p>
    <w:p>
      <w:pPr>
        <w:pStyle w:val="BodyText"/>
        <w:rPr>
          <w:u w:val="single"/>
        </w:rPr>
      </w:pPr>
      <w:r>
        <w:rPr>
          <w:u w:val="single"/>
        </w:rPr>
        <w:t>How Should Low-Income Consumers be Protected?</w:t>
      </w:r>
    </w:p>
    <w:p>
      <w:pPr>
        <w:pStyle w:val="BodyText"/>
        <w:rPr/>
      </w:pPr>
      <w:r>
        <w:rPr/>
        <w:t xml:space="preserve">All existing low-income programs should be continued.  The CPUC should determine whether it is most efficient to continue them through the UDC, the competitive Default Provider(s), through all competitive suppliers, through community-based organizations, or by other means.  </w:t>
      </w:r>
    </w:p>
    <w:p>
      <w:pPr>
        <w:pStyle w:val="BodyText"/>
        <w:rPr/>
      </w:pPr>
      <w:r>
        <w:rPr/>
      </w:r>
    </w:p>
    <w:p>
      <w:pPr>
        <w:pStyle w:val="BodyText"/>
        <w:rPr>
          <w:u w:val="single"/>
        </w:rPr>
      </w:pPr>
      <w:r>
        <w:rPr>
          <w:u w:val="single"/>
        </w:rPr>
        <w:t>What about Customers above 100 kW?</w:t>
      </w:r>
    </w:p>
    <w:p>
      <w:pPr>
        <w:pStyle w:val="BodyText"/>
        <w:rPr>
          <w:u w:val="single"/>
        </w:rPr>
      </w:pPr>
      <w:r>
        <w:rPr>
          <w:u w:val="single"/>
        </w:rPr>
      </w:r>
    </w:p>
    <w:p>
      <w:pPr>
        <w:pStyle w:val="BodyText"/>
        <w:rPr/>
      </w:pPr>
      <w:r>
        <w:rPr/>
        <w:t xml:space="preserve">These customers must choose a competitive ESP by June 1, 2001.  Similar to the gas industry in California, they cannot choose a default service.  However, in the event of an emergency or the failure of their supplier they can temporarily take Provider of Last Resort (POLR) service.  </w:t>
      </w:r>
    </w:p>
    <w:p>
      <w:pPr>
        <w:pStyle w:val="BodyText"/>
        <w:rPr/>
      </w:pPr>
      <w:r>
        <w:rPr/>
      </w:r>
    </w:p>
    <w:p>
      <w:pPr>
        <w:pStyle w:val="BodyText"/>
        <w:rPr>
          <w:u w:val="single"/>
        </w:rPr>
      </w:pPr>
      <w:r>
        <w:rPr>
          <w:u w:val="single"/>
        </w:rPr>
        <w:t>How Should POLR Service be Priced?</w:t>
      </w:r>
    </w:p>
    <w:p>
      <w:pPr>
        <w:pStyle w:val="BodyText"/>
        <w:rPr/>
      </w:pPr>
      <w:r>
        <w:rPr/>
        <w:t>It should be based on an hourly spot market price only, with appropriate mark up to cover the uncertain and intermittent demand for the service.</w:t>
      </w:r>
    </w:p>
    <w:p>
      <w:pPr>
        <w:pStyle w:val="BodyText"/>
        <w:rPr/>
      </w:pPr>
      <w:r>
        <w:rPr/>
      </w:r>
    </w:p>
    <w:p>
      <w:pPr>
        <w:pStyle w:val="BodyText"/>
        <w:rPr>
          <w:u w:val="single"/>
        </w:rPr>
      </w:pPr>
      <w:r>
        <w:rPr>
          <w:u w:val="single"/>
        </w:rPr>
        <w:t>Who Should Provide POLR Service?</w:t>
      </w:r>
    </w:p>
    <w:p>
      <w:pPr>
        <w:pStyle w:val="BodyText"/>
        <w:rPr/>
      </w:pPr>
      <w:r>
        <w:rPr/>
        <w:t>SDG&amp;E up until December 31, 2002, after that by a competitive supplier who bid for the role.</w:t>
      </w:r>
    </w:p>
    <w:p>
      <w:pPr>
        <w:pStyle w:val="BodyText"/>
        <w:rPr/>
      </w:pPr>
      <w:r>
        <w:rPr/>
      </w:r>
    </w:p>
    <w:p>
      <w:pPr>
        <w:pStyle w:val="BodyText"/>
        <w:rPr>
          <w:b/>
          <w:u w:val="single"/>
        </w:rPr>
      </w:pPr>
      <w:r>
        <w:rPr>
          <w:b/>
          <w:u w:val="single"/>
        </w:rPr>
        <w:t>Benefits of this Proposal</w:t>
      </w:r>
    </w:p>
    <w:p>
      <w:pPr>
        <w:pStyle w:val="BodyText"/>
        <w:rPr>
          <w:b/>
          <w:u w:val="single"/>
        </w:rPr>
      </w:pPr>
      <w:r>
        <w:rPr>
          <w:b/>
          <w:u w:val="single"/>
        </w:rPr>
      </w:r>
    </w:p>
    <w:p>
      <w:pPr>
        <w:pStyle w:val="BodyText"/>
        <w:numPr>
          <w:ilvl w:val="0"/>
          <w:numId w:val="3"/>
        </w:numPr>
        <w:rPr/>
      </w:pPr>
      <w:r>
        <w:rPr/>
        <w:t>It shields small customers from the volatility of the spot market.</w:t>
      </w:r>
    </w:p>
    <w:p>
      <w:pPr>
        <w:pStyle w:val="BodyText"/>
        <w:numPr>
          <w:ilvl w:val="0"/>
          <w:numId w:val="3"/>
        </w:numPr>
        <w:rPr/>
      </w:pPr>
      <w:r>
        <w:rPr/>
        <w:t>It allows small customers to know in advance what their price will be so they can better budget their expenses, compare competitive suppliers and evaluate energy efficiency investments.</w:t>
      </w:r>
    </w:p>
    <w:p>
      <w:pPr>
        <w:pStyle w:val="BodyText"/>
        <w:numPr>
          <w:ilvl w:val="0"/>
          <w:numId w:val="3"/>
        </w:numPr>
        <w:rPr/>
      </w:pPr>
      <w:r>
        <w:rPr/>
        <w:t>It prevents balancing accounts and “balloon” payments that come due later.</w:t>
      </w:r>
    </w:p>
    <w:p>
      <w:pPr>
        <w:pStyle w:val="BodyText"/>
        <w:numPr>
          <w:ilvl w:val="0"/>
          <w:numId w:val="3"/>
        </w:numPr>
        <w:rPr/>
      </w:pPr>
      <w:r>
        <w:rPr/>
        <w:t>Preserves the current low-income protection programs.</w:t>
      </w:r>
    </w:p>
    <w:p>
      <w:pPr>
        <w:pStyle w:val="BodyText"/>
        <w:numPr>
          <w:ilvl w:val="0"/>
          <w:numId w:val="3"/>
        </w:numPr>
        <w:rPr/>
      </w:pPr>
      <w:r>
        <w:rPr/>
        <w:t>Maintains rigorous CPUC oversight of the terms and conditions of retail default service which is within its jurisdiction.</w:t>
      </w:r>
    </w:p>
    <w:p>
      <w:pPr>
        <w:pStyle w:val="BodyText"/>
        <w:numPr>
          <w:ilvl w:val="0"/>
          <w:numId w:val="3"/>
        </w:numPr>
        <w:rPr/>
      </w:pPr>
      <w:r>
        <w:rPr/>
        <w:t>Provides price responsiveness in the large customer market because all customers will have to choose an ESP and therefore be required to install an interval meter.  At the same time, they will be shopping for pricing and service options that allow them to minimize their costs through TOU pricing, curtailment pricing, and other load management techniques.</w:t>
      </w:r>
    </w:p>
    <w:p>
      <w:pPr>
        <w:pStyle w:val="BodyText"/>
        <w:numPr>
          <w:ilvl w:val="0"/>
          <w:numId w:val="3"/>
        </w:numPr>
        <w:rPr/>
      </w:pPr>
      <w:r>
        <w:rPr/>
        <w:t>ESPs will have financial incentives to minimize the cost of providing service and thereby encouraging customers to manage their loads in an economically efficient manner.</w:t>
      </w:r>
    </w:p>
    <w:p>
      <w:pPr>
        <w:pStyle w:val="BodyText"/>
        <w:numPr>
          <w:ilvl w:val="0"/>
          <w:numId w:val="3"/>
        </w:numPr>
        <w:rPr/>
      </w:pPr>
      <w:r>
        <w:rPr/>
        <w:t>Will generate more forward purchasing, by both SDG&amp;E and competitors, than the current system.</w:t>
      </w:r>
    </w:p>
    <w:p>
      <w:pPr>
        <w:pStyle w:val="BodyText"/>
        <w:numPr>
          <w:ilvl w:val="0"/>
          <w:numId w:val="3"/>
        </w:numPr>
        <w:rPr/>
      </w:pPr>
      <w:r>
        <w:rPr/>
        <w:t>Enhances the reliability of the distribution system by minimizing the economic threat that unpredictable wholesale prices and spot retail pricing are currently placing on the UDCs.</w:t>
      </w:r>
    </w:p>
    <w:p>
      <w:pPr>
        <w:pStyle w:val="BodyText"/>
        <w:numPr>
          <w:ilvl w:val="0"/>
          <w:numId w:val="3"/>
        </w:numPr>
        <w:rPr/>
      </w:pPr>
      <w:r>
        <w:rPr/>
        <w:t>Allows UDCs to focus on providing high quality, reliable distribution service.</w:t>
      </w:r>
    </w:p>
    <w:p>
      <w:pPr>
        <w:pStyle w:val="BodyText"/>
        <w:numPr>
          <w:ilvl w:val="0"/>
          <w:numId w:val="3"/>
        </w:numPr>
        <w:rPr/>
      </w:pPr>
      <w:r>
        <w:rPr/>
        <w:t xml:space="preserve">Enhances the retail market by getting rid of the current “black box” nature of the extremely complex Schedule PX pricing scheme.  The current scheme does not tell customers their price until months after they consume the energy.  Nor does it provide a benchmark for competitors to compete against. </w:t>
      </w:r>
    </w:p>
    <w:p>
      <w:pPr>
        <w:pStyle w:val="BodyText"/>
        <w:numPr>
          <w:ilvl w:val="0"/>
          <w:numId w:val="3"/>
        </w:numPr>
        <w:rPr/>
      </w:pPr>
      <w:r>
        <w:rPr/>
        <w:t>Eliminates the inherent conflict of interest whereby one competitor, the UDC, controls the “bottleneck” facility which all others competitors must pass.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2">
    <w:name w:val="heading 2"/>
    <w:basedOn w:val="Normal"/>
    <w:next w:val="Normal"/>
    <w:qFormat/>
    <w:pPr>
      <w:keepNext w:val="true"/>
      <w:numPr>
        <w:ilvl w:val="1"/>
        <w:numId w:val="1"/>
      </w:numPr>
      <w:jc w:val="both"/>
      <w:outlineLvl w:val="1"/>
    </w:pPr>
    <w:rPr>
      <w:b/>
    </w:rPr>
  </w:style>
  <w:style w:type="character" w:styleId="WW8Num1z0">
    <w:name w:val="WW8Num1z0"/>
    <w:qFormat/>
    <w:rPr/>
  </w:style>
  <w:style w:type="character" w:styleId="WW8Num1z1">
    <w:name w:val="WW8Num1z1"/>
    <w:qFormat/>
    <w:rPr>
      <w:rFonts w:ascii="Courier New" w:hAnsi="Courier New" w:cs="Courier New"/>
      <w:b w:val="false"/>
      <w:i w:val="false"/>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2000-09-21T00:43:00Z</dcterms:created>
  <dc:creator>Green Mountain</dc:creator>
  <dc:description/>
  <dc:language>en-CA</dc:language>
  <cp:lastModifiedBy>Green Mountain</cp:lastModifiedBy>
  <dcterms:modified xsi:type="dcterms:W3CDTF">2000-09-21T02:36:00Z</dcterms:modified>
  <cp:revision>1</cp:revision>
  <dc:subject/>
  <dc:title>DRAFT</dc:title>
</cp:coreProperties>
</file>