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sideAddressName"/>
        <w:spacing w:before="220" w:after="0"/>
        <w:rPr>
          <w:b/>
        </w:rPr>
      </w:pPr>
      <w:r>
        <w:drawing>
          <wp:anchor behindDoc="0" distT="0" distB="0" distL="114935" distR="114935" simplePos="0" locked="0" layoutInCell="0" allowOverlap="1" relativeHeight="3">
            <wp:simplePos x="0" y="0"/>
            <wp:positionH relativeFrom="column">
              <wp:posOffset>-45720</wp:posOffset>
            </wp:positionH>
            <wp:positionV relativeFrom="paragraph">
              <wp:posOffset>-274320</wp:posOffset>
            </wp:positionV>
            <wp:extent cx="1600200" cy="47625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2" t="-76" r="-22" b="-76"/>
                    <a:stretch>
                      <a:fillRect/>
                    </a:stretch>
                  </pic:blipFill>
                  <pic:spPr bwMode="auto">
                    <a:xfrm>
                      <a:off x="0" y="0"/>
                      <a:ext cx="1600200" cy="476250"/>
                    </a:xfrm>
                    <a:prstGeom prst="rect">
                      <a:avLst/>
                    </a:prstGeom>
                    <a:noFill/>
                  </pic:spPr>
                </pic:pic>
              </a:graphicData>
            </a:graphic>
          </wp:anchor>
        </w:drawing>
      </w:r>
      <w:r>
        <w:rPr>
          <w:b/>
        </w:rPr>
        <w:t>RFP# LT121201-01</w:t>
      </w:r>
    </w:p>
    <w:p>
      <w:pPr>
        <w:pStyle w:val="Date"/>
        <w:rPr/>
      </w:pPr>
      <w:r>
        <w:rPr/>
      </w:r>
    </w:p>
    <w:p>
      <w:pPr>
        <w:pStyle w:val="Date"/>
        <w:rPr/>
      </w:pPr>
      <w:r>
        <w:rPr/>
        <w:fldChar w:fldCharType="begin"/>
      </w:r>
      <w:r>
        <w:rPr/>
        <w:instrText xml:space="preserve"> DATE \@"MMMM\ d', 'yyyy" </w:instrText>
      </w:r>
      <w:r>
        <w:rPr/>
        <w:fldChar w:fldCharType="separate"/>
      </w:r>
      <w:r>
        <w:rPr/>
        <w:t>September 28, 2025</w:t>
      </w:r>
      <w:r>
        <w:rPr/>
        <w:fldChar w:fldCharType="end"/>
      </w:r>
      <w:r>
        <mc:AlternateContent>
          <mc:Choice Requires="wps">
            <w:drawing>
              <wp:anchor behindDoc="0" distT="118745" distB="118745" distL="118745" distR="118745" simplePos="0" locked="0" layoutInCell="0" allowOverlap="1" relativeHeight="2">
                <wp:simplePos x="0" y="0"/>
                <wp:positionH relativeFrom="page">
                  <wp:posOffset>4388485</wp:posOffset>
                </wp:positionH>
                <wp:positionV relativeFrom="page">
                  <wp:posOffset>640715</wp:posOffset>
                </wp:positionV>
                <wp:extent cx="2743200" cy="612775"/>
                <wp:effectExtent l="0" t="0" r="0" b="0"/>
                <wp:wrapTopAndBottom/>
                <wp:docPr id="2" name="Frame1"/>
                <a:graphic xmlns:a="http://schemas.openxmlformats.org/drawingml/2006/main">
                  <a:graphicData uri="http://schemas.microsoft.com/office/word/2010/wordprocessingShape">
                    <wps:wsp>
                      <wps:cNvSpPr txBox="1"/>
                      <wps:spPr>
                        <a:xfrm>
                          <a:off x="0" y="0"/>
                          <a:ext cx="2743200" cy="612775"/>
                        </a:xfrm>
                        <a:prstGeom prst="rect"/>
                        <a:solidFill>
                          <a:srgbClr val="FFFFFF">
                            <a:alpha val="0"/>
                          </a:srgbClr>
                        </a:solidFill>
                      </wps:spPr>
                      <wps:txbx>
                        <w:txbxContent>
                          <w:p>
                            <w:pPr>
                              <w:pStyle w:val="Normal"/>
                              <w:rPr/>
                            </w:pPr>
                            <w:r>
                              <w:rPr/>
                              <w:t>Term Marketing Department</w:t>
                            </w:r>
                          </w:p>
                          <w:p>
                            <w:pPr>
                              <w:pStyle w:val="Normal"/>
                              <w:rPr/>
                            </w:pPr>
                            <w:r>
                              <w:rPr/>
                              <w:t>P. O. Box 1551 - CPB 10A</w:t>
                            </w:r>
                          </w:p>
                          <w:p>
                            <w:pPr>
                              <w:pStyle w:val="Normal"/>
                              <w:rPr/>
                            </w:pPr>
                            <w:r>
                              <w:rPr/>
                              <w:t>Raleigh, North Carolina   276</w:t>
                            </w:r>
                          </w:p>
                        </w:txbxContent>
                      </wps:txbx>
                      <wps:bodyPr anchor="t" lIns="0" tIns="0" rIns="0" bIns="0">
                        <a:noAutofit/>
                      </wps:bodyPr>
                    </wps:wsp>
                  </a:graphicData>
                </a:graphic>
              </wp:anchor>
            </w:drawing>
          </mc:Choice>
          <mc:Fallback>
            <w:pict>
              <v:rect fillcolor="#FFFFFF" style="position:absolute;rotation:-0;width:216pt;height:48.25pt;mso-wrap-distance-left:9.35pt;mso-wrap-distance-right:9.35pt;mso-wrap-distance-top:9.35pt;mso-wrap-distance-bottom:9.35pt;margin-top:50.45pt;mso-position-vertical-relative:page;margin-left:345.55pt;mso-position-horizontal-relative:page">
                <v:fill opacity="0f"/>
                <v:textbox inset="0in,0in,0in,0in">
                  <w:txbxContent>
                    <w:p>
                      <w:pPr>
                        <w:pStyle w:val="Normal"/>
                        <w:rPr/>
                      </w:pPr>
                      <w:r>
                        <w:rPr/>
                        <w:t>Term Marketing Department</w:t>
                      </w:r>
                    </w:p>
                    <w:p>
                      <w:pPr>
                        <w:pStyle w:val="Normal"/>
                        <w:rPr/>
                      </w:pPr>
                      <w:r>
                        <w:rPr/>
                        <w:t>P. O. Box 1551 - CPB 10A</w:t>
                      </w:r>
                    </w:p>
                    <w:p>
                      <w:pPr>
                        <w:pStyle w:val="Normal"/>
                        <w:rPr/>
                      </w:pPr>
                      <w:r>
                        <w:rPr/>
                        <w:t>Raleigh, North Carolina   276</w:t>
                      </w:r>
                    </w:p>
                  </w:txbxContent>
                </v:textbox>
                <w10:wrap type="topAndBottom"/>
              </v:rect>
            </w:pict>
          </mc:Fallback>
        </mc:AlternateContent>
      </w:r>
    </w:p>
    <w:p>
      <w:pPr>
        <w:pStyle w:val="Salutation"/>
        <w:rPr/>
      </w:pPr>
      <w:r>
        <w:fldChar w:fldCharType="begin"/>
      </w:r>
      <w:r>
        <w:rPr/>
        <w:instrText xml:space="preserve"> AUTOTEXTLIST </w:instrText>
      </w:r>
      <w:r>
        <w:rPr/>
      </w:r>
      <w:r>
        <w:rPr/>
        <w:fldChar w:fldCharType="separate"/>
      </w:r>
      <w:r>
        <w:rPr/>
        <w:t>Dear Sir or Madam:</w:t>
      </w:r>
      <w:r/>
      <w:r>
        <w:rPr/>
        <w:fldChar w:fldCharType="end"/>
      </w:r>
      <w:r>
        <w:rPr/>
      </w:r>
    </w:p>
    <w:p>
      <w:pPr>
        <w:pStyle w:val="SubjectLine"/>
        <w:ind w:hanging="2160" w:start="2160" w:end="0"/>
        <w:rPr/>
      </w:pPr>
      <w:r>
        <w:fldChar w:fldCharType="begin"/>
      </w:r>
      <w:r>
        <w:rPr>
          <w:sz w:val="24"/>
          <w:spacing w:val="-5"/>
          <w:rFonts w:cs="Arial" w:ascii="Arial" w:hAnsi="Arial"/>
        </w:rPr>
        <w:instrText xml:space="preserve"> AUTOTEXTLIST </w:instrText>
      </w:r>
      <w:r>
        <w:rPr>
          <w:rFonts w:cs="Arial" w:ascii="Arial" w:hAnsi="Arial"/>
          <w:spacing w:val="-5"/>
          <w:sz w:val="24"/>
        </w:rPr>
      </w:r>
      <w:r>
        <w:rPr>
          <w:sz w:val="24"/>
          <w:spacing w:val="-5"/>
          <w:rFonts w:cs="Arial" w:ascii="Arial" w:hAnsi="Arial"/>
        </w:rPr>
        <w:fldChar w:fldCharType="separate"/>
      </w:r>
      <w:r>
        <w:rPr>
          <w:rFonts w:cs="Arial" w:ascii="Arial" w:hAnsi="Arial"/>
          <w:spacing w:val="-5"/>
          <w:sz w:val="24"/>
        </w:rPr>
        <w:t>Subject:</w:t>
      </w:r>
      <w:r>
        <w:rPr>
          <w:rFonts w:cs="Arial" w:ascii="Arial" w:hAnsi="Arial"/>
          <w:spacing w:val="-5"/>
          <w:sz w:val="24"/>
        </w:rPr>
      </w:r>
      <w:r>
        <w:rPr>
          <w:sz w:val="24"/>
          <w:spacing w:val="-5"/>
          <w:rFonts w:cs="Arial" w:ascii="Arial" w:hAnsi="Arial"/>
        </w:rPr>
        <w:fldChar w:fldCharType="end"/>
      </w:r>
      <w:r>
        <w:rPr>
          <w:rFonts w:cs="Arial" w:ascii="Arial" w:hAnsi="Arial"/>
          <w:spacing w:val="-5"/>
          <w:sz w:val="24"/>
        </w:rPr>
        <w:tab/>
        <w:t>Request for Proposal for Long Term Gas Supply</w:t>
      </w:r>
      <w:r>
        <w:rPr/>
        <w:tab/>
      </w:r>
    </w:p>
    <w:p>
      <w:pPr>
        <w:pStyle w:val="BodyText"/>
        <w:rPr/>
      </w:pPr>
      <w:r>
        <w:rPr/>
        <w:t>Carolina Power &amp; Light Company, (hereinafter referred to as Buyer), a Progress Energy Company, is requesting proposals for long term gas supply for its electric generation facilities in Richmond County, North Carolina. Buyer requests that Seller’s proposal meet the following requirements:</w:t>
      </w:r>
    </w:p>
    <w:p>
      <w:pPr>
        <w:pStyle w:val="Salutation"/>
        <w:rPr>
          <w:sz w:val="24"/>
        </w:rPr>
      </w:pPr>
      <w:r>
        <w:rPr>
          <w:sz w:val="24"/>
        </w:rPr>
        <w:t>Term</w:t>
        <w:tab/>
        <w:tab/>
        <w:tab/>
      </w:r>
      <w:r>
        <w:rPr/>
        <w:t>June 1, 2002 through May 31, 2005 – a 3 year term</w:t>
      </w:r>
    </w:p>
    <w:p>
      <w:pPr>
        <w:pStyle w:val="Normal"/>
        <w:ind w:hanging="2160" w:start="2160" w:end="0"/>
        <w:rPr>
          <w:sz w:val="24"/>
        </w:rPr>
      </w:pPr>
      <w:r>
        <w:rPr>
          <w:sz w:val="24"/>
        </w:rPr>
        <w:t>Volume</w:t>
        <w:tab/>
      </w:r>
      <w:r>
        <w:rPr/>
        <w:t>Maximum packages of not more than 25,000 dts/day and/or</w:t>
      </w:r>
    </w:p>
    <w:p>
      <w:pPr>
        <w:pStyle w:val="Normal"/>
        <w:ind w:start="2160" w:end="0"/>
        <w:rPr>
          <w:sz w:val="24"/>
        </w:rPr>
      </w:pPr>
      <w:r>
        <w:rPr/>
        <w:t>Minimum packages of not less than 5,000 dts/day</w:t>
      </w:r>
    </w:p>
    <w:p>
      <w:pPr>
        <w:pStyle w:val="Normal"/>
        <w:rPr>
          <w:sz w:val="24"/>
        </w:rPr>
      </w:pPr>
      <w:r>
        <w:rPr>
          <w:sz w:val="24"/>
        </w:rPr>
      </w:r>
    </w:p>
    <w:p>
      <w:pPr>
        <w:pStyle w:val="Normal"/>
        <w:rPr>
          <w:sz w:val="24"/>
        </w:rPr>
      </w:pPr>
      <w:r>
        <w:rPr>
          <w:sz w:val="24"/>
        </w:rPr>
        <w:t>Pipeline</w:t>
      </w:r>
      <w:r>
        <w:rPr/>
        <w:tab/>
        <w:tab/>
        <w:t>Transco pipeline</w:t>
      </w:r>
    </w:p>
    <w:p>
      <w:pPr>
        <w:pStyle w:val="Normal"/>
        <w:rPr>
          <w:sz w:val="24"/>
        </w:rPr>
      </w:pPr>
      <w:r>
        <w:rPr>
          <w:sz w:val="24"/>
        </w:rPr>
      </w:r>
    </w:p>
    <w:p>
      <w:pPr>
        <w:pStyle w:val="Normal"/>
        <w:ind w:hanging="2160" w:start="2160" w:end="0"/>
        <w:rPr>
          <w:sz w:val="24"/>
        </w:rPr>
      </w:pPr>
      <w:r>
        <w:rPr>
          <w:sz w:val="24"/>
        </w:rPr>
        <w:t>Delivery Point</w:t>
        <w:tab/>
      </w:r>
      <w:r>
        <w:rPr/>
        <w:t>Into Transco Zone 3, at Station 65</w:t>
        <w:tab/>
        <w:t xml:space="preserve"> AND/OR Interconnect between Transco and Destin @ mile 756.860 in Clark County MS</w:t>
      </w:r>
    </w:p>
    <w:p>
      <w:pPr>
        <w:pStyle w:val="Normal"/>
        <w:rPr>
          <w:sz w:val="24"/>
        </w:rPr>
      </w:pPr>
      <w:r>
        <w:rPr>
          <w:sz w:val="24"/>
        </w:rPr>
      </w:r>
    </w:p>
    <w:p>
      <w:pPr>
        <w:pStyle w:val="Normal"/>
        <w:rPr>
          <w:sz w:val="24"/>
        </w:rPr>
      </w:pPr>
      <w:r>
        <w:rPr>
          <w:sz w:val="24"/>
        </w:rPr>
        <w:t>Pooling Points</w:t>
        <w:tab/>
      </w:r>
      <w:r>
        <w:rPr/>
        <w:t>NA</w:t>
        <w:tab/>
        <w:br/>
      </w:r>
    </w:p>
    <w:p>
      <w:pPr>
        <w:pStyle w:val="Normal"/>
        <w:ind w:hanging="2160" w:start="2160" w:end="0"/>
        <w:rPr>
          <w:sz w:val="24"/>
        </w:rPr>
      </w:pPr>
      <w:r>
        <w:rPr>
          <w:sz w:val="24"/>
        </w:rPr>
        <w:t>Service</w:t>
        <w:tab/>
      </w:r>
      <w:r>
        <w:rPr/>
        <w:t>Firm, with Variable Takes</w:t>
      </w:r>
    </w:p>
    <w:p>
      <w:pPr>
        <w:pStyle w:val="Normal"/>
        <w:ind w:hanging="2160" w:start="2160" w:end="0"/>
        <w:rPr>
          <w:sz w:val="24"/>
        </w:rPr>
      </w:pPr>
      <w:r>
        <w:rPr>
          <w:sz w:val="24"/>
        </w:rPr>
      </w:r>
    </w:p>
    <w:p>
      <w:pPr>
        <w:pStyle w:val="Normal"/>
        <w:ind w:hanging="720" w:start="720" w:end="0"/>
        <w:rPr/>
      </w:pPr>
      <w:r>
        <w:rPr>
          <w:sz w:val="24"/>
        </w:rPr>
        <w:t>Price</w:t>
        <w:tab/>
        <w:tab/>
        <w:tab/>
      </w:r>
      <w:r>
        <w:rPr/>
        <w:t>Buyer requires the following pricing:</w:t>
      </w:r>
    </w:p>
    <w:p>
      <w:pPr>
        <w:pStyle w:val="Normal"/>
        <w:numPr>
          <w:ilvl w:val="0"/>
          <w:numId w:val="3"/>
        </w:numPr>
        <w:tabs>
          <w:tab w:val="clear" w:pos="720"/>
          <w:tab w:val="left" w:pos="2520" w:leader="none"/>
        </w:tabs>
        <w:ind w:hanging="360" w:start="2520" w:end="0"/>
        <w:rPr/>
      </w:pPr>
      <w:r>
        <w:rPr/>
        <w:t>Indexed pricing  – use typical NG Indices e.g., Inside FERC First of the Month Index or NYMEX strip. Discuss Basis adjustment, if applicable.</w:t>
      </w:r>
    </w:p>
    <w:p>
      <w:pPr>
        <w:pStyle w:val="Normal"/>
        <w:numPr>
          <w:ilvl w:val="0"/>
          <w:numId w:val="3"/>
        </w:numPr>
        <w:tabs>
          <w:tab w:val="clear" w:pos="720"/>
          <w:tab w:val="left" w:pos="2520" w:leader="none"/>
        </w:tabs>
        <w:ind w:hanging="360" w:start="2520" w:end="0"/>
        <w:rPr/>
      </w:pPr>
      <w:r>
        <w:rPr/>
        <w:t>Fixed pricing – annual by year for entire term.</w:t>
      </w:r>
    </w:p>
    <w:p>
      <w:pPr>
        <w:pStyle w:val="Normal"/>
        <w:rPr>
          <w:sz w:val="24"/>
        </w:rPr>
      </w:pPr>
      <w:r>
        <w:rPr>
          <w:sz w:val="24"/>
        </w:rPr>
      </w:r>
    </w:p>
    <w:p>
      <w:pPr>
        <w:pStyle w:val="Normal"/>
        <w:ind w:hanging="720" w:start="720" w:end="0"/>
        <w:rPr/>
      </w:pPr>
      <w:r>
        <w:rPr>
          <w:sz w:val="24"/>
        </w:rPr>
        <w:t>Optional Pricing</w:t>
        <w:tab/>
      </w:r>
      <w:r>
        <w:rPr/>
        <w:t>Buyer has interest in reviewing pricing options including, but not limited to:</w:t>
      </w:r>
    </w:p>
    <w:p>
      <w:pPr>
        <w:pStyle w:val="Normal"/>
        <w:numPr>
          <w:ilvl w:val="0"/>
          <w:numId w:val="3"/>
        </w:numPr>
        <w:tabs>
          <w:tab w:val="clear" w:pos="720"/>
          <w:tab w:val="left" w:pos="2520" w:leader="none"/>
        </w:tabs>
        <w:ind w:hanging="360" w:start="2520" w:end="0"/>
        <w:rPr/>
      </w:pPr>
      <w:r>
        <w:rPr/>
        <w:t>Fixed pricing – entire term</w:t>
      </w:r>
    </w:p>
    <w:p>
      <w:pPr>
        <w:pStyle w:val="Normal"/>
        <w:numPr>
          <w:ilvl w:val="0"/>
          <w:numId w:val="3"/>
        </w:numPr>
        <w:tabs>
          <w:tab w:val="clear" w:pos="720"/>
          <w:tab w:val="left" w:pos="2520" w:leader="none"/>
        </w:tabs>
        <w:ind w:hanging="360" w:start="2520" w:end="0"/>
        <w:rPr/>
      </w:pPr>
      <w:r>
        <w:rPr/>
        <w:t>Costless Collar pricing – annual or entire term</w:t>
      </w:r>
    </w:p>
    <w:p>
      <w:pPr>
        <w:pStyle w:val="Normal"/>
        <w:numPr>
          <w:ilvl w:val="0"/>
          <w:numId w:val="3"/>
        </w:numPr>
        <w:tabs>
          <w:tab w:val="clear" w:pos="720"/>
          <w:tab w:val="left" w:pos="2520" w:leader="none"/>
        </w:tabs>
        <w:ind w:hanging="360" w:start="2520" w:end="0"/>
        <w:rPr/>
      </w:pPr>
      <w:r>
        <w:rPr/>
        <w:t>Call Option on facilities. Specify all appropriate terms &amp; conditions.</w:t>
      </w:r>
    </w:p>
    <w:p>
      <w:pPr>
        <w:pStyle w:val="Normal"/>
        <w:numPr>
          <w:ilvl w:val="0"/>
          <w:numId w:val="3"/>
        </w:numPr>
        <w:tabs>
          <w:tab w:val="clear" w:pos="720"/>
          <w:tab w:val="left" w:pos="2520" w:leader="none"/>
        </w:tabs>
        <w:ind w:hanging="360" w:start="2520" w:end="0"/>
        <w:rPr/>
      </w:pPr>
      <w:r>
        <w:rPr/>
        <w:t>Option to allow Buyer to swing down take multiple times in a month</w:t>
      </w:r>
    </w:p>
    <w:p>
      <w:pPr>
        <w:pStyle w:val="Normal"/>
        <w:numPr>
          <w:ilvl w:val="0"/>
          <w:numId w:val="3"/>
        </w:numPr>
        <w:tabs>
          <w:tab w:val="clear" w:pos="720"/>
          <w:tab w:val="left" w:pos="2520" w:leader="none"/>
        </w:tabs>
        <w:ind w:hanging="360" w:start="2520" w:end="0"/>
        <w:rPr/>
      </w:pPr>
      <w:r>
        <w:rPr/>
        <w:t>Seller proposed pricing, if any</w:t>
      </w:r>
    </w:p>
    <w:p>
      <w:pPr>
        <w:pStyle w:val="Normal"/>
        <w:rPr>
          <w:sz w:val="24"/>
        </w:rPr>
      </w:pPr>
      <w:r>
        <w:rPr>
          <w:sz w:val="24"/>
        </w:rPr>
      </w:r>
    </w:p>
    <w:p>
      <w:pPr>
        <w:pStyle w:val="BodyText"/>
        <w:ind w:hanging="2160" w:start="2160" w:end="0"/>
        <w:rPr/>
      </w:pPr>
      <w:r>
        <w:rPr>
          <w:sz w:val="24"/>
        </w:rPr>
        <w:t>Balancing</w:t>
      </w:r>
      <w:r>
        <w:rPr/>
        <w:tab/>
        <w:t>per GISB Base Contract</w:t>
      </w:r>
    </w:p>
    <w:p>
      <w:pPr>
        <w:pStyle w:val="BodyText"/>
        <w:ind w:hanging="2160" w:start="2160" w:end="0"/>
        <w:rPr/>
      </w:pPr>
      <w:r>
        <w:rPr>
          <w:sz w:val="24"/>
        </w:rPr>
        <w:t>Comments</w:t>
      </w:r>
      <w:r>
        <w:rPr/>
        <w:t xml:space="preserve">   </w:t>
        <w:tab/>
        <w:t>Buyer desires baseload quantities, and will consider Seller’s right to declare a minimum volume take for any month. Seller should explain any storage, parking/lending services or opportunities deemed of interest to Buyer.</w:t>
      </w:r>
    </w:p>
    <w:p>
      <w:pPr>
        <w:pStyle w:val="BodyText"/>
        <w:ind w:hanging="2160" w:start="2160" w:end="0"/>
        <w:rPr/>
      </w:pPr>
      <w:r>
        <w:rPr>
          <w:sz w:val="24"/>
        </w:rPr>
        <w:t>Requirements</w:t>
      </w:r>
      <w:r>
        <w:rPr/>
        <w:tab/>
        <w:t>Buyer specifies the Terms &amp; Conditions of the GISB Base Contract For Short-Term Sale And Purchase Of Natural Gas, with Buyer’s Special Provisions for Long-Term Sale And Purchase Of Natural Gas noted in the attached document, unless otherwise negotiated between Buyer and Seller.</w:t>
      </w:r>
      <w:r>
        <w:rPr>
          <w:sz w:val="24"/>
        </w:rPr>
        <w:tab/>
      </w:r>
      <w:r>
        <w:rPr/>
        <w:t xml:space="preserve"> </w:t>
      </w:r>
    </w:p>
    <w:p>
      <w:pPr>
        <w:pStyle w:val="BodyText"/>
        <w:ind w:hanging="2160" w:start="2160" w:end="0"/>
        <w:rPr/>
      </w:pPr>
      <w:r>
        <w:rPr>
          <w:sz w:val="24"/>
        </w:rPr>
        <w:t>Gas Quality</w:t>
      </w:r>
      <w:r>
        <w:rPr/>
        <w:t xml:space="preserve"> </w:t>
        <w:tab/>
        <w:t>Seller shall warranty to Buyer at Delivery that all gas meets or exceeds pipeline gas quality specifications regarding Btu content and natural gas liquids. If gas is found to be insufficiently processed, Seller will join with Buyer to petition that the pipeline enforces required specifications on producers.</w:t>
      </w:r>
    </w:p>
    <w:p>
      <w:pPr>
        <w:pStyle w:val="BodyText"/>
        <w:ind w:hanging="2160" w:start="2160" w:end="0"/>
        <w:rPr/>
      </w:pPr>
      <w:r>
        <w:rPr>
          <w:sz w:val="24"/>
        </w:rPr>
        <w:t>General Terms</w:t>
      </w:r>
      <w:r>
        <w:rPr/>
        <w:t xml:space="preserve"> </w:t>
        <w:tab/>
        <w:t>Buyer reserves the right to accept or reject any and all bids. Buyer may request a second round of bids from a short list of bidders, if deemed necessary in Buyer’s sole discretion. Carolina Power &amp; Light Company is an equal opportunity buyer.</w:t>
      </w:r>
    </w:p>
    <w:p>
      <w:pPr>
        <w:pStyle w:val="BodyText"/>
        <w:rPr>
          <w:sz w:val="24"/>
        </w:rPr>
      </w:pPr>
      <w:r>
        <w:rPr>
          <w:sz w:val="24"/>
        </w:rPr>
      </w:r>
    </w:p>
    <w:p>
      <w:pPr>
        <w:pStyle w:val="BodyText"/>
        <w:rPr/>
      </w:pPr>
      <w:r>
        <w:rPr>
          <w:sz w:val="24"/>
        </w:rPr>
        <w:t>Proposals</w:t>
      </w:r>
      <w:r>
        <w:rPr/>
        <w:t xml:space="preserve"> </w:t>
      </w:r>
      <w:r>
        <w:rPr>
          <w:sz w:val="24"/>
        </w:rPr>
        <w:t>are DUE by:</w:t>
      </w:r>
      <w:r>
        <w:rPr/>
        <w:tab/>
        <w:tab/>
        <w:tab/>
      </w:r>
      <w:r>
        <w:rPr>
          <w:b/>
        </w:rPr>
        <w:t xml:space="preserve">Wednesday, December 12, 2001, 10:00 a.m. </w:t>
      </w:r>
      <w:r>
        <w:rPr/>
        <w:t xml:space="preserve"> </w:t>
      </w:r>
    </w:p>
    <w:p>
      <w:pPr>
        <w:pStyle w:val="BodyText"/>
        <w:rPr>
          <w:sz w:val="24"/>
        </w:rPr>
      </w:pPr>
      <w:r>
        <w:rPr>
          <w:sz w:val="24"/>
        </w:rPr>
        <w:t>Proposals</w:t>
      </w:r>
      <w:r>
        <w:rPr/>
        <w:t xml:space="preserve"> are preferred to be submitted via e-mail to the address below. Proposals may be submitted by FAX. Proposals received AFTER the DUE date will NOT be accepted. All Proposals MUST reference </w:t>
      </w:r>
      <w:r>
        <w:rPr>
          <w:b/>
        </w:rPr>
        <w:t xml:space="preserve">RFP# LT121201-01. </w:t>
      </w:r>
      <w:r>
        <w:rPr/>
        <w:t>Questions related to deal points should be directed to the author at the number listed during business hours (EST). All other questions should be directed to Contract Administration at 919.546.4314.</w:t>
      </w:r>
    </w:p>
    <w:p>
      <w:pPr>
        <w:pStyle w:val="BodyText"/>
        <w:rPr/>
      </w:pPr>
      <w:r>
        <w:rPr>
          <w:sz w:val="24"/>
        </w:rPr>
        <w:t>Please send proposals to:</w:t>
      </w:r>
      <w:r>
        <w:rPr/>
        <w:tab/>
      </w:r>
    </w:p>
    <w:p>
      <w:pPr>
        <w:pStyle w:val="Heading7"/>
        <w:rPr>
          <w:sz w:val="20"/>
        </w:rPr>
      </w:pPr>
      <w:r>
        <w:rPr>
          <w:sz w:val="20"/>
        </w:rPr>
        <w:t>Carolina Power &amp; Light Company</w:t>
      </w:r>
    </w:p>
    <w:p>
      <w:pPr>
        <w:pStyle w:val="Normal"/>
        <w:ind w:start="2160" w:end="0"/>
        <w:rPr/>
      </w:pPr>
      <w:r>
        <w:rPr/>
        <w:t>Attn: Howard Murphy</w:t>
      </w:r>
    </w:p>
    <w:p>
      <w:pPr>
        <w:pStyle w:val="Normal"/>
        <w:ind w:start="2160" w:end="0"/>
        <w:rPr/>
      </w:pPr>
      <w:r>
        <w:rPr/>
        <w:t xml:space="preserve">Manager, Term Gas &amp; Transportation </w:t>
      </w:r>
    </w:p>
    <w:p>
      <w:pPr>
        <w:pStyle w:val="Normal"/>
        <w:ind w:start="2160" w:end="0"/>
        <w:rPr/>
      </w:pPr>
      <w:r>
        <w:rPr/>
        <w:t>Term Marketing Department</w:t>
      </w:r>
    </w:p>
    <w:p>
      <w:pPr>
        <w:pStyle w:val="Normal"/>
        <w:ind w:start="2160" w:end="0"/>
        <w:rPr/>
      </w:pPr>
      <w:r>
        <w:rPr/>
        <w:t>P. O. Box 1551 - CPB 10A</w:t>
      </w:r>
    </w:p>
    <w:p>
      <w:pPr>
        <w:pStyle w:val="Normal"/>
        <w:ind w:start="2160" w:end="0"/>
        <w:rPr/>
      </w:pPr>
      <w:r>
        <w:rPr/>
        <w:t>Raleigh, North Carolina   27602</w:t>
      </w:r>
    </w:p>
    <w:p>
      <w:pPr>
        <w:pStyle w:val="Normal"/>
        <w:ind w:start="2160" w:end="0"/>
        <w:rPr/>
      </w:pPr>
      <w:r>
        <w:rPr/>
        <w:t>Telephone:  919-546-4774</w:t>
      </w:r>
    </w:p>
    <w:p>
      <w:pPr>
        <w:pStyle w:val="Normal"/>
        <w:ind w:start="2160" w:end="0"/>
        <w:rPr/>
      </w:pPr>
      <w:r>
        <w:rPr/>
      </w:r>
    </w:p>
    <w:p>
      <w:pPr>
        <w:pStyle w:val="BodyText"/>
        <w:ind w:start="2160" w:end="0"/>
        <w:rPr>
          <w:b/>
        </w:rPr>
      </w:pPr>
      <w:r>
        <w:rPr>
          <w:b/>
        </w:rPr>
        <w:t>Send e-mail responses to:</w:t>
        <w:tab/>
        <w:t xml:space="preserve">GasRFP@pgnmail.com </w:t>
      </w:r>
    </w:p>
    <w:p>
      <w:pPr>
        <w:pStyle w:val="BodyText"/>
        <w:ind w:start="2160" w:end="0"/>
        <w:rPr>
          <w:b/>
        </w:rPr>
      </w:pPr>
      <w:r>
        <w:rPr>
          <w:b/>
        </w:rPr>
        <w:t xml:space="preserve">Send FAX responses to:  </w:t>
        <w:tab/>
        <w:t>919-546-2826</w:t>
      </w:r>
    </w:p>
    <w:p>
      <w:pPr>
        <w:pStyle w:val="BodyText"/>
        <w:ind w:start="2160" w:end="0"/>
        <w:rPr>
          <w:b/>
        </w:rPr>
      </w:pPr>
      <w:r>
        <w:rPr>
          <w:b/>
        </w:rPr>
      </w:r>
    </w:p>
    <w:p>
      <w:pPr>
        <w:pStyle w:val="Closing"/>
        <w:rPr/>
      </w:pPr>
      <w:r>
        <w:fldChar w:fldCharType="begin"/>
      </w:r>
      <w:r>
        <w:rPr/>
        <w:instrText xml:space="preserve"> AUTOTEXTLIST </w:instrText>
      </w:r>
      <w:r>
        <w:rPr/>
      </w:r>
      <w:r>
        <w:rPr/>
        <w:fldChar w:fldCharType="separate"/>
      </w:r>
      <w:r>
        <w:rPr/>
        <w:t>Sincerely,</w:t>
      </w:r>
      <w:r/>
      <w:r>
        <w:rPr/>
        <w:fldChar w:fldCharType="end"/>
      </w:r>
      <w:r>
        <w:rPr/>
      </w:r>
    </w:p>
    <w:p>
      <w:pPr>
        <w:pStyle w:val="Signature"/>
        <w:rPr/>
      </w:pPr>
      <w:r>
        <w:rPr/>
        <w:t>Howard Murphy</w:t>
      </w:r>
    </w:p>
    <w:p>
      <w:pPr>
        <w:pStyle w:val="SignatureJobTitle"/>
        <w:rPr/>
      </w:pPr>
      <w:r>
        <w:rPr/>
        <w:t>Manager, Term Gas &amp; Transportation</w:t>
      </w:r>
    </w:p>
    <w:p>
      <w:pPr>
        <w:pStyle w:val="SignatureCompany"/>
        <w:rPr/>
      </w:pPr>
      <w:r>
        <w:rPr/>
        <w:t>919-546-4774</w:t>
      </w:r>
    </w:p>
    <w:p>
      <w:pPr>
        <w:pStyle w:val="ReferenceInitials"/>
        <w:rPr/>
      </w:pPr>
      <w:r>
        <w:rPr/>
      </w:r>
    </w:p>
    <w:p>
      <w:pPr>
        <w:pStyle w:val="ReferenceInitials"/>
        <w:rPr/>
      </w:pPr>
      <w:r>
        <w:rPr/>
        <w:t>Attachment:</w:t>
        <w:tab/>
        <w:t>Special Provisions for Long-Term Sale And Purchase Of Natural Gas</w:t>
      </w:r>
    </w:p>
    <w:sectPr>
      <w:headerReference w:type="default" r:id="rId3"/>
      <w:headerReference w:type="first" r:id="rId4"/>
      <w:type w:val="nextPage"/>
      <w:pgSz w:w="12240" w:h="15840"/>
      <w:pgMar w:left="1800" w:right="1800" w:gutter="0" w:header="96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Wingdings" w:cs="Wingdings" w:ascii="Wingdings" w:hAnsi="Wingdings"/>
      </w:rPr>
      <w:sym w:font="Wingdings" w:char="f06c"/>
    </w:r>
    <w:r>
      <w:rPr>
        <w:rFonts w:eastAsia="Arial"/>
      </w:rPr>
      <w:t xml:space="preserve">  </w:t>
    </w:r>
    <w:r>
      <w:rPr/>
      <w:t xml:space="preserve">Page </w:t>
    </w:r>
    <w:r>
      <w:rPr/>
      <w:fldChar w:fldCharType="begin"/>
    </w:r>
    <w:r>
      <w:rPr/>
      <w:instrText xml:space="preserve"> PAGE \* ARABIC </w:instrText>
    </w:r>
    <w:r>
      <w:rPr/>
      <w:fldChar w:fldCharType="separate"/>
    </w:r>
    <w:r>
      <w:rPr/>
      <w:t>2</w:t>
    </w:r>
    <w:r>
      <w:rPr/>
      <w:fldChar w:fldCharType="end"/>
    </w: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paragraph" w:styleId="Heading7">
    <w:name w:val="heading 7"/>
    <w:basedOn w:val="Normal"/>
    <w:next w:val="Normal"/>
    <w:qFormat/>
    <w:pPr>
      <w:keepNext w:val="true"/>
      <w:numPr>
        <w:ilvl w:val="6"/>
        <w:numId w:val="1"/>
      </w:numPr>
      <w:ind w:hanging="0" w:start="2160" w:end="0"/>
      <w:outlineLvl w:val="6"/>
    </w:pPr>
    <w:rPr>
      <w:sz w:val="24"/>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pPr>
    <w:rPr>
      <w:rFonts w:ascii="Arial" w:hAnsi="Arial" w:cs="Arial"/>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jc w:val="both"/>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rFonts w:ascii="Arial" w:hAnsi="Arial" w:cs="Arial"/>
      <w:spacing w:val="-5"/>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rFonts w:ascii="Arial" w:hAnsi="Arial" w:cs="Arial"/>
      <w:spacing w:val="-5"/>
    </w:rPr>
  </w:style>
  <w:style w:type="paragraph" w:styleId="Closing">
    <w:name w:val="Closing"/>
    <w:basedOn w:val="Normal"/>
    <w:next w:val="Signature"/>
    <w:qFormat/>
    <w:pPr>
      <w:keepNext w:val="true"/>
      <w:spacing w:lineRule="atLeast" w:line="220" w:before="0" w:after="60"/>
    </w:pPr>
    <w:rPr>
      <w:rFonts w:ascii="Arial" w:hAnsi="Arial" w:cs="Arial"/>
      <w:spacing w:val="-5"/>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rFonts w:ascii="Arial" w:hAnsi="Arial" w:cs="Arial"/>
      <w:spacing w:val="-5"/>
    </w:rPr>
  </w:style>
  <w:style w:type="paragraph" w:styleId="Enclosure">
    <w:name w:val="Enclosure"/>
    <w:basedOn w:val="Normal"/>
    <w:next w:val="CcList"/>
    <w:qFormat/>
    <w:pPr>
      <w:keepNext w:val="true"/>
      <w:keepLines/>
      <w:spacing w:lineRule="atLeast" w:line="220" w:before="0" w:after="220"/>
    </w:pPr>
    <w:rPr>
      <w:rFonts w:ascii="Arial" w:hAnsi="Arial" w:cs="Arial"/>
      <w:spacing w:val="-5"/>
    </w:rPr>
  </w:style>
  <w:style w:type="paragraph" w:styleId="InsideAddress">
    <w:name w:val="Inside Address"/>
    <w:basedOn w:val="Normal"/>
    <w:qFormat/>
    <w:pPr>
      <w:spacing w:lineRule="atLeast" w:line="220"/>
    </w:pPr>
    <w:rPr>
      <w:rFonts w:ascii="Arial" w:hAnsi="Arial" w:cs="Arial"/>
      <w:spacing w:val="-5"/>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rFonts w:ascii="Arial" w:hAnsi="Arial" w:cs="Arial"/>
      <w:caps/>
      <w:spacing w:val="-5"/>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List"/>
    <w:qFormat/>
    <w:pPr>
      <w:numPr>
        <w:ilvl w:val="0"/>
        <w:numId w:val="2"/>
      </w:numPr>
    </w:pPr>
    <w:rPr/>
  </w:style>
  <w:style w:type="paragraph" w:styleId="ListNumber">
    <w:name w:val="List Number"/>
    <w:basedOn w:val="BodyText"/>
    <w:qFormat/>
    <w:pPr>
      <w:numPr>
        <w:ilvl w:val="0"/>
        <w:numId w:val="4"/>
      </w:numP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Richmond 3 yr Term Gas RFP.dot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2001-10-30T18:11:00Z</dcterms:created>
  <dc:creator>Corporate User</dc:creator>
  <dc:description/>
  <dc:language>en-CA</dc:language>
  <cp:lastModifiedBy>Corporate User</cp:lastModifiedBy>
  <cp:lastPrinted>2001-11-15T08:04:00Z</cp:lastPrinted>
  <dcterms:modified xsi:type="dcterms:W3CDTF">2001-11-15T10:34:00Z</dcterms:modified>
  <cp:revision>42</cp:revision>
  <dc:subject/>
  <dc:title>Professional Letter</dc:title>
</cp:coreProperties>
</file>