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7/24/00</w:t>
        <w:tab/>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ENRON AND RICH PRODUCTS CORPORATION ANNOUNCE</w:t>
      </w:r>
    </w:p>
    <w:p>
      <w:pPr>
        <w:pStyle w:val="Heading2"/>
        <w:ind w:hanging="0" w:start="0"/>
        <w:rPr>
          <w:rFonts w:ascii="Times New Roman" w:hAnsi="Times New Roman" w:cs="Times New Roman"/>
          <w:sz w:val="24"/>
        </w:rPr>
      </w:pPr>
      <w:r>
        <w:rPr>
          <w:rFonts w:cs="Times New Roman" w:ascii="Times New Roman" w:hAnsi="Times New Roman"/>
          <w:sz w:val="24"/>
        </w:rPr>
        <w:t>LONG-TERM ENERGY PURCHASING AGREEMENT</w:t>
      </w:r>
    </w:p>
    <w:p>
      <w:pPr>
        <w:pStyle w:val="Normal"/>
        <w:rPr>
          <w:rFonts w:ascii="Times New Roman" w:hAnsi="Times New Roman" w:cs="Times New Roman"/>
          <w:b/>
          <w:sz w:val="24"/>
        </w:rPr>
      </w:pPr>
      <w:r>
        <w:rPr>
          <w:rFonts w:cs="Times New Roman"/>
          <w:b/>
          <w:sz w:val="24"/>
        </w:rPr>
      </w:r>
    </w:p>
    <w:p>
      <w:pPr>
        <w:pStyle w:val="Heading3"/>
        <w:spacing w:lineRule="auto" w:line="480"/>
        <w:ind w:hanging="0" w:start="0"/>
        <w:rPr>
          <w:rFonts w:ascii="Times New Roman" w:hAnsi="Times New Roman" w:cs="Times New Roman"/>
        </w:rPr>
      </w:pPr>
      <w:r>
        <w:rPr>
          <w:rFonts w:cs="Times New Roman" w:ascii="Times New Roman" w:hAnsi="Times New Roman"/>
        </w:rPr>
        <w:t>FOR IMMEDIATE RELEASE: Wednesday July 26, 2000</w:t>
      </w:r>
    </w:p>
    <w:p>
      <w:pPr>
        <w:pStyle w:val="Normal"/>
        <w:spacing w:lineRule="auto" w:line="480"/>
        <w:ind w:firstLine="720" w:end="0"/>
        <w:rPr/>
      </w:pPr>
      <w:r>
        <w:rPr>
          <w:b/>
          <w:sz w:val="24"/>
        </w:rPr>
        <w:t>HOUSTON</w:t>
      </w:r>
      <w:r>
        <w:rPr>
          <w:sz w:val="24"/>
        </w:rPr>
        <w:t xml:space="preserve"> – Enron Energy Services, a subsidiary of Enron Corp., today announced that it has entered into an eleven-year electricity and natural gas commodity management agreement with Rich Products Corporation.</w:t>
      </w:r>
    </w:p>
    <w:p>
      <w:pPr>
        <w:pStyle w:val="Normal"/>
        <w:spacing w:lineRule="auto" w:line="480"/>
        <w:ind w:firstLine="720" w:end="0"/>
        <w:rPr>
          <w:sz w:val="24"/>
        </w:rPr>
      </w:pPr>
      <w:r>
        <w:rPr>
          <w:sz w:val="24"/>
        </w:rPr>
        <w:t xml:space="preserve">The agreement, valued at over $130 million, covers Rich’s 18 major facilities in Wisconsin, New York, Tennessee, California, Ohio, Massachusetts, Illinois, Virginia, New Jersey, Georgia and Texas. In addition to the supply of electricity and natural gas, Enron will provide ongoing billing services for the facilities. </w:t>
      </w:r>
    </w:p>
    <w:p>
      <w:pPr>
        <w:pStyle w:val="Normal"/>
        <w:spacing w:lineRule="auto" w:line="480"/>
        <w:ind w:firstLine="720" w:end="0"/>
        <w:rPr>
          <w:sz w:val="24"/>
        </w:rPr>
      </w:pPr>
      <w:r>
        <w:rPr>
          <w:sz w:val="24"/>
        </w:rPr>
        <w:t>“</w:t>
      </w:r>
      <w:r>
        <w:rPr>
          <w:sz w:val="24"/>
        </w:rPr>
        <w:t>Our partnership with Enron allows us access to a reliable and economical supply of electricity and natural gas,” remarked Mike Bingham, Rich’s executive vice president of Operations. “Ultimately, it’s about delivering increasing value to our customers.”</w:t>
      </w:r>
    </w:p>
    <w:p>
      <w:pPr>
        <w:pStyle w:val="BodyTextIndent"/>
        <w:rPr/>
      </w:pPr>
      <w:r>
        <w:rPr/>
        <w:t>Lou Pai, chairman and CEO of Enron Energy Services said, “We see this agreement as the beginning of a long-term partnership with Rich Products through which they will secure a stable energy supply while continuously improving the energy efficiency of their facilities.  Our agreement with Rich Products, coupled with others we’ve signed to date, demonstrates that outsourcing energy management is quickly becoming the new standard in the food processing industry.”</w:t>
      </w:r>
    </w:p>
    <w:p>
      <w:pPr>
        <w:pStyle w:val="BodyText"/>
        <w:ind w:firstLine="720" w:end="0"/>
        <w:rPr/>
      </w:pPr>
      <w:r>
        <w:rPr/>
        <w:t xml:space="preserve">Founded in 1945, Rich Products Corporation is one of the United States' largest family-owned food companies, with annual sales of $1.4 billion and more than 7,000 associates worldwide. Rich's has regional offices, subsidiaries and manufacturing plants located in 53 countries including Canada, Mexico, India, South Africa, China and Italy. </w:t>
      </w:r>
    </w:p>
    <w:p>
      <w:pPr>
        <w:pStyle w:val="BodyText"/>
        <w:ind w:firstLine="720" w:end="0"/>
        <w:rPr/>
      </w:pPr>
      <w:r>
        <w:rPr/>
        <w:t>Rich's is known around the world as leading supplier and solutions provider to the food service and in-store bakery segments, specializing in bakery and dessert products and field technical support services.</w:t>
      </w:r>
    </w:p>
    <w:p>
      <w:pPr>
        <w:pStyle w:val="BodyText"/>
        <w:ind w:firstLine="720" w:end="0"/>
        <w:rPr/>
      </w:pPr>
      <w:r>
        <w:rPr>
          <w:rFonts w:eastAsia="Tms Rmn" w:cs="Tms Rmn" w:ascii="Tms Rmn" w:hAnsi="Tms Rmn"/>
          <w:color w:val="000000"/>
          <w:lang w:eastAsia="en-US"/>
        </w:rPr>
        <w:t xml:space="preserve"> </w:t>
      </w:r>
      <w:r>
        <w:rPr>
          <w:rFonts w:cs="Tms Rmn" w:ascii="Tms Rmn" w:hAnsi="Tms Rmn"/>
          <w:color w:val="000000"/>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lang w:eastAsia="en-US"/>
        </w:rPr>
        <w:t>Fortune</w:t>
      </w:r>
      <w:r>
        <w:rPr>
          <w:rFonts w:cs="Tms Rmn" w:ascii="Tms Rmn" w:hAnsi="Tms Rmn"/>
          <w:color w:val="000000"/>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lang w:eastAsia="en-US"/>
        </w:rPr>
        <w:t>Fortune's</w:t>
      </w:r>
      <w:r>
        <w:rPr>
          <w:rFonts w:cs="Tms Rmn" w:ascii="Tms Rmn" w:hAnsi="Tms Rmn"/>
          <w:color w:val="000000"/>
          <w:lang w:eastAsia="en-US"/>
        </w:rPr>
        <w:t xml:space="preserve"> "Best 100 Companies to Work For in America."  Enron’s Internet address </w:t>
      </w:r>
      <w:r>
        <w:rPr>
          <w:rFonts w:cs="Tms Rmn" w:ascii="Tms Rmn" w:hAnsi="Tms Rmn"/>
          <w:lang w:eastAsia="en-US"/>
        </w:rPr>
        <w:t>is www.enron.com.</w:t>
      </w:r>
      <w:r>
        <w:rPr>
          <w:rFonts w:cs="Tms Rmn" w:ascii="Tms Rmn" w:hAnsi="Tms Rmn"/>
          <w:color w:val="000000"/>
          <w:lang w:eastAsia="en-US"/>
        </w:rPr>
        <w:t xml:space="preserve">  The stock is traded under the ticker symbol "ENE."</w:t>
      </w:r>
    </w:p>
    <w:p>
      <w:pPr>
        <w:pStyle w:val="BodyTextIndent"/>
        <w:rPr/>
      </w:pPr>
      <w:r>
        <w:rPr/>
        <w:br/>
      </w:r>
    </w:p>
    <w:p>
      <w:pPr>
        <w:pStyle w:val="Normal"/>
        <w:ind w:firstLine="720" w:end="0"/>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3600" w:end="0"/>
      <w:outlineLvl w:val="0"/>
    </w:pPr>
    <w:rPr>
      <w:rFonts w:ascii="Arial" w:hAnsi="Arial" w:cs="Arial"/>
      <w:b/>
      <w:color w:val="808000"/>
      <w:sz w:val="24"/>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2000-07-24T20:48:00Z</dcterms:created>
  <dc:creator>Jennifer Smith</dc:creator>
  <dc:description/>
  <dc:language>en-CA</dc:language>
  <cp:lastModifiedBy>pmahoney</cp:lastModifiedBy>
  <cp:lastPrinted>2000-07-24T15:06:00Z</cp:lastPrinted>
  <dcterms:modified xsi:type="dcterms:W3CDTF">2000-07-24T20:48:00Z</dcterms:modified>
  <cp:revision>2</cp:revision>
  <dc:subject/>
  <dc:title>DRAFT PRESS RELEASE 7/5/00</dc:title>
</cp:coreProperties>
</file>