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4"/>
        </w:rPr>
      </w:pPr>
      <w:r>
        <w:rPr>
          <w:b/>
          <w:i/>
          <w:sz w:val="24"/>
        </w:rPr>
        <w:t>FIRST DRAFT – 3/1/00</w:t>
      </w:r>
    </w:p>
    <w:p>
      <w:pPr>
        <w:pStyle w:val="Normal"/>
        <w:jc w:val="center"/>
        <w:rPr>
          <w:b/>
          <w:i/>
          <w:i/>
          <w:sz w:val="24"/>
        </w:rPr>
      </w:pPr>
      <w:r>
        <w:rPr>
          <w:b/>
          <w:i/>
          <w:sz w:val="24"/>
        </w:rPr>
      </w:r>
    </w:p>
    <w:p>
      <w:pPr>
        <w:pStyle w:val="Normal"/>
        <w:jc w:val="center"/>
        <w:rPr>
          <w:b/>
          <w:sz w:val="24"/>
        </w:rPr>
      </w:pPr>
      <w:r>
        <w:rPr>
          <w:b/>
          <w:sz w:val="24"/>
        </w:rPr>
        <w:t>UNITED STATES OF AMERICA</w:t>
      </w:r>
    </w:p>
    <w:p>
      <w:pPr>
        <w:pStyle w:val="Normal"/>
        <w:jc w:val="center"/>
        <w:rPr>
          <w:b/>
          <w:sz w:val="24"/>
        </w:rPr>
      </w:pPr>
      <w:r>
        <w:rPr>
          <w:b/>
          <w:sz w:val="24"/>
        </w:rPr>
        <w:t xml:space="preserve">BEFORE THE </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left" w:pos="4320" w:leader="none"/>
          <w:tab w:val="left" w:pos="5760" w:leader="none"/>
        </w:tabs>
        <w:rPr>
          <w:b/>
          <w:sz w:val="24"/>
        </w:rPr>
      </w:pPr>
      <w:r>
        <w:rPr>
          <w:b/>
          <w:sz w:val="24"/>
        </w:rPr>
        <w:t>Regulation of Short-Term Natural</w:t>
        <w:tab/>
        <w:t>§</w:t>
        <w:tab/>
        <w:t>Docket No. RM98-10-000</w:t>
      </w:r>
    </w:p>
    <w:p>
      <w:pPr>
        <w:pStyle w:val="Normal"/>
        <w:tabs>
          <w:tab w:val="clear" w:pos="720"/>
          <w:tab w:val="left" w:pos="4320" w:leader="none"/>
          <w:tab w:val="left" w:pos="5760" w:leader="none"/>
        </w:tabs>
        <w:rPr>
          <w:b/>
          <w:sz w:val="24"/>
        </w:rPr>
      </w:pPr>
      <w:r>
        <w:rPr>
          <w:b/>
          <w:sz w:val="24"/>
        </w:rPr>
        <w:t xml:space="preserve">         </w:t>
      </w:r>
      <w:r>
        <w:rPr>
          <w:b/>
          <w:sz w:val="24"/>
        </w:rPr>
        <w:t>Gas Transportation Services</w:t>
        <w:tab/>
        <w:t>§</w:t>
        <w:tab/>
      </w:r>
    </w:p>
    <w:p>
      <w:pPr>
        <w:pStyle w:val="Normal"/>
        <w:tabs>
          <w:tab w:val="clear" w:pos="720"/>
          <w:tab w:val="left" w:pos="4320" w:leader="none"/>
          <w:tab w:val="left" w:pos="5580" w:leader="none"/>
        </w:tabs>
        <w:rPr>
          <w:b/>
          <w:sz w:val="24"/>
        </w:rPr>
      </w:pPr>
      <w:r>
        <w:rPr>
          <w:b/>
          <w:sz w:val="24"/>
        </w:rPr>
        <w:tab/>
        <w:t>§</w:t>
      </w:r>
    </w:p>
    <w:p>
      <w:pPr>
        <w:pStyle w:val="Normal"/>
        <w:rPr>
          <w:b/>
          <w:sz w:val="24"/>
        </w:rPr>
      </w:pPr>
      <w:r>
        <w:rPr>
          <w:b/>
          <w:sz w:val="24"/>
        </w:rPr>
        <w:t>Regulation of Interstate Natural</w:t>
        <w:tab/>
        <w:tab/>
        <w:t>§</w:t>
        <w:tab/>
        <w:tab/>
        <w:t>Docket No. RM98-12-000</w:t>
      </w:r>
    </w:p>
    <w:p>
      <w:pPr>
        <w:pStyle w:val="Normal"/>
        <w:tabs>
          <w:tab w:val="clear" w:pos="720"/>
          <w:tab w:val="left" w:pos="4320" w:leader="none"/>
          <w:tab w:val="left" w:pos="5580" w:leader="none"/>
        </w:tabs>
        <w:rPr>
          <w:b/>
          <w:sz w:val="24"/>
        </w:rPr>
      </w:pPr>
      <w:r>
        <w:rPr>
          <w:b/>
          <w:sz w:val="24"/>
        </w:rPr>
        <w:t xml:space="preserve">         </w:t>
      </w:r>
      <w:r>
        <w:rPr>
          <w:b/>
          <w:sz w:val="24"/>
        </w:rPr>
        <w:t>Gas Transportation Services</w:t>
        <w:tab/>
        <w:t>§</w:t>
      </w:r>
    </w:p>
    <w:p>
      <w:pPr>
        <w:pStyle w:val="Normal"/>
        <w:ind w:start="4320" w:end="0"/>
        <w:rPr>
          <w:b/>
          <w:sz w:val="24"/>
        </w:rPr>
      </w:pPr>
      <w:r>
        <w:rPr>
          <w:b/>
          <w:sz w:val="24"/>
        </w:rPr>
      </w:r>
    </w:p>
    <w:p>
      <w:pPr>
        <w:pStyle w:val="Normal"/>
        <w:ind w:start="4320" w:end="0"/>
        <w:rPr>
          <w:b/>
          <w:sz w:val="24"/>
        </w:rPr>
      </w:pPr>
      <w:r>
        <w:rPr>
          <w:b/>
          <w:sz w:val="24"/>
        </w:rPr>
      </w:r>
    </w:p>
    <w:p>
      <w:pPr>
        <w:pStyle w:val="Normal"/>
        <w:jc w:val="center"/>
        <w:rPr>
          <w:b/>
          <w:sz w:val="24"/>
        </w:rPr>
      </w:pPr>
      <w:r>
        <w:rPr>
          <w:b/>
          <w:sz w:val="24"/>
        </w:rPr>
        <w:t xml:space="preserve">REQUEST FOR REHEARING AND CLARIFICATION </w:t>
      </w:r>
    </w:p>
    <w:p>
      <w:pPr>
        <w:pStyle w:val="Normal"/>
        <w:jc w:val="center"/>
        <w:rPr>
          <w:b/>
          <w:sz w:val="24"/>
          <w:u w:val="single"/>
        </w:rPr>
      </w:pPr>
      <w:r>
        <w:rPr>
          <w:b/>
          <w:sz w:val="24"/>
          <w:u w:val="single"/>
        </w:rPr>
        <w:t>OF THE ENRON INTERSTATE PIPELINES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spacing w:lineRule="auto" w:line="480"/>
        <w:rPr/>
      </w:pPr>
      <w:r>
        <w:rPr>
          <w:b/>
          <w:sz w:val="24"/>
        </w:rPr>
        <w:tab/>
      </w:r>
      <w:r>
        <w:rPr>
          <w:sz w:val="24"/>
        </w:rPr>
        <w:t xml:space="preserve">The Enron Interstate Pipelines, pursuant to Section 19 of the Natural Gas Act, 15 U.S.C. 717r and Rule 713 of the Federal Energy Regulatory Commission's ("Commission") Rules of Practice and Procedure, 18 C.F.R. § 385.713, hereby respectfully request rehearing of certain requirements and clarification of certain statements contained in Order No. 637 issued February 9, 2000, in the above referenced docket ("Final Rule").   </w:t>
      </w:r>
    </w:p>
    <w:p>
      <w:pPr>
        <w:pStyle w:val="Normal"/>
        <w:spacing w:lineRule="auto" w:line="480"/>
        <w:rPr>
          <w:sz w:val="24"/>
        </w:rPr>
      </w:pPr>
      <w:r>
        <w:rPr>
          <w:sz w:val="24"/>
        </w:rPr>
        <w:tab/>
        <w:t>The Enron Pipelines have actively participated in these proceedings over the last several years.  And, while we do not agree with all aspects of the Final Rule, we do respect the balance that underlies the 260 pages of discussion.   It might otherwise be tempting to complain about the absence negotiated terms flexibility, the addition of extensive reporting requirements, or the relatively modest steps towards accommodating seasonal and term-differentiated rate proposals. But to focus on these shortcomings would be to miss the significance of the Final Rule.  The Enron Pipelines applaud the Commission not so much for the outcome of this Final Rule, but for full airing of concerns that led up to its issuance.  The Final Rule introduces groundbreaking concepts: lifting the price caps for capacity release, finding that value-oriented ratemaking is cost-of-service ratemaking, recognizing that not all shippers are captive customers that need protection, and focusing the right of first refusal back on its intended purpose in protecting historical usage.  But, we learn from reading the Final Rule that the Commission is not yet ready to test these new concepts without a safety net, and so with these with these innovations come certain conditions: continuation of cost of service ratemaking on pipeline services, the use of pro forma filings to implement new concepts, and additional reporting to permit monitoring of transportation markets.  Ultimately, we believe that many of these conditions will prove unnecessary.  Nevertheless, the Final Rule challenges the industry to accept the Commission’s measured framework for moving away from prescriptive regulations towards market-oriented approaches that permit flexibility within certain bounds and with continued market monitoring. The Enron Pipeline clarification and rehearing requests abide that frameworks and are confined to those points which impact the ability to implement the principles and regulations set forth in the Final Rule.</w:t>
      </w:r>
    </w:p>
    <w:p>
      <w:pPr>
        <w:pStyle w:val="Normal"/>
        <w:spacing w:lineRule="auto" w:line="480"/>
        <w:rPr>
          <w:sz w:val="24"/>
        </w:rPr>
      </w:pPr>
      <w:r>
        <w:rPr>
          <w:sz w:val="24"/>
        </w:rPr>
      </w:r>
    </w:p>
    <w:p>
      <w:pPr>
        <w:pStyle w:val="BodyTextIndent"/>
        <w:rPr>
          <w:b/>
        </w:rPr>
      </w:pPr>
      <w:r>
        <w:rPr>
          <w:b/>
        </w:rPr>
        <w:t>A.</w:t>
        <w:tab/>
        <w:t xml:space="preserve">The Commission should clarify that the twelve month review of peak/off-peak rates is intended solely as a means to validate the peak/off-peak methodology, and not as a general rate review. </w:t>
      </w:r>
    </w:p>
    <w:p>
      <w:pPr>
        <w:pStyle w:val="Normal"/>
        <w:spacing w:lineRule="auto" w:line="480"/>
        <w:rPr>
          <w:b/>
          <w:sz w:val="24"/>
        </w:rPr>
      </w:pPr>
      <w:r>
        <w:rPr>
          <w:b/>
          <w:sz w:val="24"/>
        </w:rPr>
      </w:r>
    </w:p>
    <w:p>
      <w:pPr>
        <w:pStyle w:val="Normal"/>
        <w:spacing w:lineRule="auto" w:line="480"/>
        <w:rPr/>
      </w:pPr>
      <w:r>
        <w:rPr>
          <w:sz w:val="24"/>
        </w:rPr>
        <w:tab/>
        <w:t xml:space="preserve">The Commission intends to facilitate the implementation of peak/off-peak rates with a flexible policy that will permit a pipeline to implement peak rates through the filing of a </w:t>
      </w:r>
      <w:r>
        <w:rPr>
          <w:sz w:val="24"/>
          <w:u w:val="single"/>
        </w:rPr>
        <w:t>pro</w:t>
      </w:r>
      <w:r>
        <w:rPr>
          <w:sz w:val="24"/>
        </w:rPr>
        <w:t xml:space="preserve"> </w:t>
      </w:r>
      <w:r>
        <w:rPr>
          <w:sz w:val="24"/>
          <w:u w:val="single"/>
        </w:rPr>
        <w:t xml:space="preserve">forma </w:t>
      </w:r>
      <w:r>
        <w:rPr>
          <w:sz w:val="24"/>
        </w:rPr>
        <w:t>tariff filing.  Because the peak/off-peak rates would be derived within existing annual revenue requirements, there is theoretically no net revenue impact from implementing peak rates -- higher peak revenues are offset by lower off-peak revenues.  However, the implementation of peak/off-peak rates outside a general rate case poses some unique considerations.  The Commission worries that to the extent reduced off-peak revenues are already built into a pipeline’s existing rates, the addition of peak rates may provide the opportunity for additional revenues over the annual revenue requirement.  Rather than mandate that all peak/off-peak proposals be limited to general rate cases, the Final Rule establishes procedures to address the Commission’s overrecovery concern.  First, the Commission requires a pipeline implementing seasonal rates through a pro forma filing to include a proposal to share any increased revenues with its long-term shippers.  Second, the Commission requires the pipeline to file a cost and revenue study based on 12 months of actual experience.  While the Enron Pipelines understand this study as a means for the Commission to reexamine the assumptions underlying the peak/off-peak rate derivations, we are concerned that others may perceive this as an opportunity for an overall review of costs and rates.  Moreover, the reference to the requirements of Section 154.313 suggests that this 12 month review will include comprehensive rate matters.  To the extent this review process provides a forum to re-litigate the existing cost of service, there is little chance that pipelines will file peak/off-peak rate proposals. Accordingly, the Enron Pipelines ask the Commission to clarify that the format and purpose of the cost and revenue study will be geared towards an evaluation of the peak /off-peak services and is not intended as a general rate review.</w:t>
      </w:r>
    </w:p>
    <w:p>
      <w:pPr>
        <w:pStyle w:val="Normal"/>
        <w:spacing w:lineRule="auto" w:line="480"/>
        <w:rPr>
          <w:sz w:val="24"/>
        </w:rPr>
      </w:pPr>
      <w:r>
        <w:rPr>
          <w:sz w:val="24"/>
        </w:rPr>
      </w:r>
    </w:p>
    <w:p>
      <w:pPr>
        <w:pStyle w:val="Heading1"/>
        <w:ind w:hanging="0" w:start="0"/>
        <w:rPr/>
      </w:pPr>
      <w:r>
        <w:rPr/>
        <w:t>Segmentation</w:t>
      </w:r>
    </w:p>
    <w:p>
      <w:pPr>
        <w:pStyle w:val="Heading1"/>
        <w:numPr>
          <w:ilvl w:val="0"/>
          <w:numId w:val="2"/>
        </w:numPr>
        <w:tabs>
          <w:tab w:val="clear" w:pos="720"/>
        </w:tabs>
        <w:spacing w:lineRule="auto" w:line="240"/>
        <w:ind w:hanging="450" w:start="720" w:end="0"/>
        <w:rPr/>
      </w:pPr>
      <w:r>
        <w:rPr/>
        <w:t xml:space="preserve">The regulations governing segmentation should be revised to reflect key aspects of the Commission’s segmentation policy. </w:t>
      </w:r>
    </w:p>
    <w:p>
      <w:pPr>
        <w:pStyle w:val="Heading3"/>
        <w:rPr/>
      </w:pPr>
      <w:r>
        <w:rPr/>
      </w:r>
    </w:p>
    <w:p>
      <w:pPr>
        <w:pStyle w:val="Heading3"/>
        <w:spacing w:lineRule="auto" w:line="480"/>
        <w:ind w:firstLine="720" w:start="0" w:end="0"/>
        <w:rPr/>
      </w:pPr>
      <w:r>
        <w:rPr/>
        <w:t>In the Final Rule the Commission concludes that its segmentation policies should be codified to ensure consistent application across the grid</w:t>
      </w:r>
      <w:r>
        <w:rPr>
          <w:i/>
        </w:rPr>
        <w:t>.  Slip Op</w:t>
      </w:r>
      <w:r>
        <w:rPr/>
        <w:t>. At 131.  Towards this end, the Commission adopted a new regulation in section 284.7(d) that gives a firm shipper the right to segment capacity for its own use or for the purpose of capacity release.  The Enron Pipelines do not dispute this provision.  However, the new regulation falls short of reflecting the entire segmentation policy.</w:t>
      </w:r>
    </w:p>
    <w:p>
      <w:pPr>
        <w:pStyle w:val="Heading3"/>
        <w:spacing w:lineRule="auto" w:line="480"/>
        <w:ind w:firstLine="720" w:start="0" w:end="0"/>
        <w:rPr/>
      </w:pPr>
      <w:r>
        <w:rPr/>
        <w:t xml:space="preserve">The problem with the new regulation is that it captures the broad concept without reflecting the limits of segmentation flexibility.   Segmentation is intended to allow existing shippers to make the best use of their existing capacity.  But, the Commission has not allowed segmentation (combined with alternate points rights) to be used in a manner that allows the sum of segmented pieces to exceed the original capacity rights.  Thus in </w:t>
      </w:r>
      <w:r>
        <w:rPr>
          <w:i/>
        </w:rPr>
        <w:t>Tennessee</w:t>
      </w:r>
      <w:r>
        <w:rPr/>
        <w:t xml:space="preserve"> the Commission found that shipper do not have the right to release overlapping segments or to submit nominations that exceed the contract demand of the original contract on any segment of the pipeline.</w:t>
      </w:r>
      <w:r>
        <w:rPr>
          <w:rStyle w:val="FootnoteCharacters"/>
          <w:rStyle w:val="FootnoteReference"/>
        </w:rPr>
        <w:footnoteReference w:id="2"/>
      </w:r>
      <w:r>
        <w:rPr/>
        <w:t xml:space="preserve">  The rationale is analogous to the Commission’s purpose in placing limits on the right of first refusal.  The Commission explains that ROFR is intended to protect the existing contract right, not to increase or change the service.  </w:t>
      </w:r>
      <w:r>
        <w:rPr>
          <w:i/>
        </w:rPr>
        <w:t>Slip Op</w:t>
      </w:r>
      <w:r>
        <w:rPr/>
        <w:t xml:space="preserve"> at 223.  This concept is key to the framework of the Commission’s segmentation policy.  Accordingly, the Enron Pipelines ask the Commission to add the prohibition on overlapping segments and excess nominations to the new regulation.  This will help foster a consistent understanding of segmentation rights across the grid.</w:t>
      </w:r>
    </w:p>
    <w:p>
      <w:pPr>
        <w:pStyle w:val="Normal"/>
        <w:spacing w:lineRule="auto" w:line="480"/>
        <w:rPr/>
      </w:pPr>
      <w:r>
        <w:rPr>
          <w:sz w:val="24"/>
        </w:rPr>
        <w:tab/>
        <w:t xml:space="preserve">Likewise the new regulation fails to address key principles regarding how segmented shippers select new primary receipt and delivery points.  Commission policy recognizes that replacement shippers are firm shippers in their own regard.  Accordingly, such shippers should have the right to select primary receipt and delivery point, </w:t>
      </w:r>
      <w:r>
        <w:rPr>
          <w:i/>
          <w:sz w:val="24"/>
        </w:rPr>
        <w:t>subject to current availability</w:t>
      </w:r>
      <w:r>
        <w:rPr>
          <w:sz w:val="24"/>
        </w:rPr>
        <w:t xml:space="preserve">.  The Final Rule suggests that segmenting shippers have automatic right to primary receipt or delivery capacity.  The Enron Pipelines ask the Commission to clarify that a segmented shipper is not automatically entitled to point rights merely by virtue of the fact that a segmentation transaction occurred at a particular location.  Rather the recipient of the segmented capacity becomes a firm shipper, and as such, has the right to select primary receipt and delivery points based on current capacity availability. </w:t>
      </w:r>
    </w:p>
    <w:p>
      <w:pPr>
        <w:pStyle w:val="Normal"/>
        <w:spacing w:lineRule="auto" w:line="480"/>
        <w:rPr>
          <w:sz w:val="24"/>
        </w:rPr>
      </w:pPr>
      <w:r>
        <w:rPr>
          <w:sz w:val="24"/>
        </w:rPr>
      </w:r>
    </w:p>
    <w:p>
      <w:pPr>
        <w:pStyle w:val="Heading1"/>
        <w:numPr>
          <w:ilvl w:val="0"/>
          <w:numId w:val="3"/>
        </w:numPr>
        <w:tabs>
          <w:tab w:val="left" w:pos="720" w:leader="none"/>
        </w:tabs>
        <w:spacing w:lineRule="auto" w:line="240"/>
        <w:ind w:hanging="360" w:start="720" w:end="0"/>
        <w:rPr/>
      </w:pPr>
      <w:r>
        <w:rPr/>
        <w:t xml:space="preserve">The Commission erred in finding that historical settlements no longer provide a justification for primary point provisions. </w:t>
      </w:r>
    </w:p>
    <w:p>
      <w:pPr>
        <w:pStyle w:val="Normal"/>
        <w:rPr>
          <w:sz w:val="24"/>
        </w:rPr>
      </w:pPr>
      <w:r>
        <w:rPr>
          <w:sz w:val="24"/>
        </w:rPr>
      </w:r>
    </w:p>
    <w:p>
      <w:pPr>
        <w:pStyle w:val="Normal"/>
        <w:spacing w:lineRule="auto" w:line="480"/>
        <w:ind w:firstLine="720" w:end="0"/>
        <w:rPr/>
      </w:pPr>
      <w:r>
        <w:rPr>
          <w:sz w:val="24"/>
        </w:rPr>
        <w:t xml:space="preserve">The Final Rule observes that a number of current pipeline tariffs contain restrictions on the ability to choose primary points.  The Commission infers that these provisions were hastily crafted in restructuring proceedings and that the Commission was skeptical even as it was approving these provisions as just and reasonable. </w:t>
      </w:r>
      <w:r>
        <w:rPr>
          <w:i/>
          <w:sz w:val="24"/>
        </w:rPr>
        <w:t>Slip op.</w:t>
      </w:r>
      <w:r>
        <w:rPr>
          <w:sz w:val="24"/>
        </w:rPr>
        <w:t xml:space="preserve"> at 128.  In the required May 1 compliance filings, pipelines are cautioned that they may not rely on historical tariff provisions that date back to the days of merchant service.  </w:t>
      </w:r>
      <w:r>
        <w:rPr>
          <w:i/>
          <w:sz w:val="24"/>
        </w:rPr>
        <w:t>Slip op.</w:t>
      </w:r>
      <w:r>
        <w:rPr>
          <w:sz w:val="24"/>
        </w:rPr>
        <w:t xml:space="preserve"> at 134.  </w:t>
      </w:r>
    </w:p>
    <w:p>
      <w:pPr>
        <w:pStyle w:val="Normal"/>
        <w:spacing w:lineRule="auto" w:line="480"/>
        <w:ind w:firstLine="720" w:end="0"/>
        <w:rPr>
          <w:sz w:val="24"/>
        </w:rPr>
      </w:pPr>
      <w:r>
        <w:rPr>
          <w:sz w:val="24"/>
        </w:rPr>
        <w:t xml:space="preserve">Transwestern’s limitations on primary point rights were included in its Global Settlement.  This was not a restructuring proceeding, but a settlement that allocated the risks of 400 MMcf/d of turnback capacity among Transwestern and its shippers.  Transwestern agreed to accept a large portion of the risk of re-marketing capacity and shippers agreed to historical limits on primary point rights.  The Global Settlement precluded Transwestern or its existing shippers from seeking to change rates for a 10 year period.  On numerous occasions, the Commission has applauded Transwestern for negotiating a turnback risk sharing settlement with its customers. It does not stand to reason that the Commission should now single out this one element of the Global Settlement for rebuke.  The Enron Pipelines seeks rehearing of the Final Rule to the extent it precludes a pipeline from offering a turnback risk sharing settlement as evidence that the current primary point tariff remains just and reasonable.  </w:t>
      </w:r>
    </w:p>
    <w:p>
      <w:pPr>
        <w:pStyle w:val="Normal"/>
        <w:rPr>
          <w:sz w:val="24"/>
        </w:rPr>
      </w:pPr>
      <w:r>
        <w:rPr>
          <w:sz w:val="24"/>
        </w:rPr>
      </w:r>
    </w:p>
    <w:p>
      <w:pPr>
        <w:pStyle w:val="Heading1"/>
        <w:numPr>
          <w:ilvl w:val="0"/>
          <w:numId w:val="3"/>
        </w:numPr>
        <w:rPr/>
      </w:pPr>
      <w:r>
        <w:rPr/>
        <w:t>Penalties</w:t>
      </w:r>
    </w:p>
    <w:p>
      <w:pPr>
        <w:pStyle w:val="Normal"/>
        <w:spacing w:lineRule="auto" w:line="480"/>
        <w:ind w:firstLine="360" w:end="0"/>
        <w:jc w:val="both"/>
        <w:rPr/>
      </w:pPr>
      <w:r>
        <w:rPr>
          <w:sz w:val="24"/>
        </w:rPr>
        <w:t xml:space="preserve">In the Final Rule, the Commission establishes a new policy that a pipeline may not retain the revenues from penalties, but must credit them to shippers.  </w:t>
      </w:r>
      <w:r>
        <w:rPr>
          <w:i/>
          <w:sz w:val="24"/>
        </w:rPr>
        <w:t>Slip op</w:t>
      </w:r>
      <w:r>
        <w:rPr>
          <w:sz w:val="24"/>
        </w:rPr>
        <w:t xml:space="preserve">. at 161.  The Commission further described this as a requirement to “automatically credit revenues from all penalties, net of costs.”  The Enron Pipelines do not take issue with the penalty crediting rationale, but seek two clarifications regarding the implementation of the concept.  First, penalty crediting should only be required on net penalty proceeds that exceed any amounts allocated in existing rates. Second, there should be some flexibility in dealing with very small penalty proceeds. </w:t>
      </w:r>
    </w:p>
    <w:p>
      <w:pPr>
        <w:pStyle w:val="Normal"/>
        <w:spacing w:lineRule="auto" w:line="480"/>
        <w:ind w:start="360" w:end="0"/>
        <w:rPr>
          <w:sz w:val="24"/>
        </w:rPr>
      </w:pPr>
      <w:r>
        <w:rPr>
          <w:sz w:val="24"/>
        </w:rPr>
      </w:r>
    </w:p>
    <w:p>
      <w:pPr>
        <w:pStyle w:val="Normal"/>
        <w:ind w:start="360" w:end="0"/>
        <w:rPr>
          <w:sz w:val="24"/>
        </w:rPr>
      </w:pPr>
      <w:r>
        <w:rPr>
          <w:sz w:val="24"/>
        </w:rPr>
      </w:r>
    </w:p>
    <w:p>
      <w:pPr>
        <w:pStyle w:val="Heading4"/>
        <w:numPr>
          <w:ilvl w:val="0"/>
          <w:numId w:val="3"/>
        </w:numPr>
        <w:ind w:hanging="720" w:start="720" w:end="0"/>
        <w:rPr/>
      </w:pPr>
      <w:r>
        <w:rPr/>
        <w:t>Reporting Requirements</w:t>
      </w:r>
    </w:p>
    <w:p>
      <w:pPr>
        <w:pStyle w:val="Normal"/>
        <w:rPr/>
      </w:pPr>
      <w:r>
        <w:rPr/>
      </w:r>
    </w:p>
    <w:p>
      <w:pPr>
        <w:pStyle w:val="Normal"/>
        <w:numPr>
          <w:ilvl w:val="0"/>
          <w:numId w:val="4"/>
        </w:numPr>
        <w:tabs>
          <w:tab w:val="left" w:pos="720" w:leader="none"/>
        </w:tabs>
        <w:ind w:hanging="360" w:start="720" w:end="0"/>
        <w:rPr>
          <w:b/>
          <w:sz w:val="24"/>
        </w:rPr>
      </w:pPr>
      <w:r>
        <w:rPr>
          <w:b/>
          <w:sz w:val="24"/>
        </w:rPr>
        <w:t>The Commission should clarify that the regulations related to reporting do not take effect until September 1, 2000.</w:t>
      </w:r>
    </w:p>
    <w:p>
      <w:pPr>
        <w:pStyle w:val="Normal"/>
        <w:spacing w:lineRule="auto" w:line="360"/>
        <w:ind w:start="360" w:end="0"/>
        <w:rPr>
          <w:b/>
          <w:sz w:val="24"/>
        </w:rPr>
      </w:pPr>
      <w:r>
        <w:rPr>
          <w:b/>
          <w:sz w:val="24"/>
        </w:rPr>
      </w:r>
    </w:p>
    <w:p>
      <w:pPr>
        <w:pStyle w:val="Normal"/>
        <w:spacing w:lineRule="auto" w:line="360"/>
        <w:ind w:firstLine="720" w:end="0"/>
        <w:rPr/>
      </w:pPr>
      <w:r>
        <w:rPr>
          <w:sz w:val="24"/>
        </w:rPr>
        <w:t xml:space="preserve">The Final Rule provides that pipelines must comply with the reporting requirements by September 1, 2000 </w:t>
      </w:r>
      <w:r>
        <w:rPr>
          <w:i/>
          <w:sz w:val="24"/>
        </w:rPr>
        <w:t>Slip Op</w:t>
      </w:r>
      <w:r>
        <w:rPr>
          <w:sz w:val="24"/>
        </w:rPr>
        <w:t xml:space="preserve">. at 237.  However, the regulations themselves take effect March 27, 2000, with the exception of removal of 284.10(c)(6) (Discount Reports) which is effective September 1.  This structure creates ambiguity as to which regulations are in effect March 27.   The Enron Pipelines ask the Commission to clarify that new reporting sections 284.13(b), 284.13(c), 284.13(d)(1) and 161(l)(2) do not take effect until September 1.  </w:t>
      </w:r>
    </w:p>
    <w:p>
      <w:pPr>
        <w:pStyle w:val="Normal"/>
        <w:spacing w:lineRule="auto" w:line="360"/>
        <w:rPr>
          <w:sz w:val="24"/>
        </w:rPr>
      </w:pPr>
      <w:r>
        <w:rPr>
          <w:sz w:val="24"/>
        </w:rPr>
      </w:r>
    </w:p>
    <w:p>
      <w:pPr>
        <w:pStyle w:val="Normal"/>
        <w:numPr>
          <w:ilvl w:val="0"/>
          <w:numId w:val="4"/>
        </w:numPr>
        <w:tabs>
          <w:tab w:val="left" w:pos="720" w:leader="none"/>
        </w:tabs>
        <w:ind w:hanging="360" w:start="720" w:end="0"/>
        <w:rPr>
          <w:b/>
          <w:sz w:val="24"/>
        </w:rPr>
      </w:pPr>
      <w:r>
        <w:rPr>
          <w:b/>
          <w:sz w:val="24"/>
        </w:rPr>
        <w:t>The Commission should eliminate the requirement that the transactional postings pertaining to firm service be posted contemporaneouly with the execution of the contract</w:t>
      </w:r>
    </w:p>
    <w:p>
      <w:pPr>
        <w:pStyle w:val="Normal"/>
        <w:rPr>
          <w:b/>
          <w:sz w:val="24"/>
        </w:rPr>
      </w:pPr>
      <w:r>
        <w:rPr>
          <w:b/>
          <w:sz w:val="24"/>
        </w:rPr>
      </w:r>
    </w:p>
    <w:p>
      <w:pPr>
        <w:pStyle w:val="BodyTextIndent2"/>
        <w:ind w:firstLine="720" w:start="0" w:end="0"/>
        <w:rPr/>
      </w:pPr>
      <w:r>
        <w:rPr/>
        <w:t>The Final Rule establishes new reporting requirements for firm service and release transactions.  Specifically, section 284.13(b)(1) requires that information about the firm transactions be posted “contemporaneously with the execution or revision of a contract for service.”  The Enron Pipelines do not believe that this requirement is achievable.  In most cases,   pipeline service agreements continue to be executed in hard-copy format by mailing documents back and forth:  a shipper requests a contract or amendment; the pipeline prepares and partially executes the contract and mails the paperwork to the shipper; and under current tariff provisions, the shipper then has up to 30 days to execute and return the documents.  The pipeline does not know the execution until after the fact.</w:t>
      </w:r>
    </w:p>
    <w:p>
      <w:pPr>
        <w:pStyle w:val="BodyTextIndent2"/>
        <w:ind w:firstLine="720" w:start="0" w:end="0"/>
        <w:rPr/>
      </w:pPr>
      <w:r>
        <w:rPr/>
        <w:t xml:space="preserve">Moreover, the Commission’s rationale behind the new firm reporting requirements is to make the reporting of pipeline capacity and capacity release identical.  </w:t>
      </w:r>
      <w:r>
        <w:rPr>
          <w:i/>
        </w:rPr>
        <w:t>Slip op.</w:t>
      </w:r>
      <w:r>
        <w:rPr/>
        <w:t xml:space="preserve"> at 177.  Prearranged capacity release transactions are not required to be posted until 9 A.M. on the day prior to the effective date, regardless of when the releasing and replacement shipper negotiate the release.</w:t>
      </w:r>
      <w:r>
        <w:rPr>
          <w:rStyle w:val="FootnoteCharacters"/>
          <w:rStyle w:val="FootnoteReference"/>
        </w:rPr>
        <w:footnoteReference w:id="3"/>
      </w:r>
      <w:r>
        <w:rPr/>
        <w:t xml:space="preserve">   Longer-term transactions must be posted at least five days prior to the effective date.  The Enron Pipelines ask the Commission to revise the posting times set forth in section 284.13(b)(1) consistent with capacity release posting timeframes, and eliminate the requirement to post contemporaneously with execution. </w:t>
      </w:r>
    </w:p>
    <w:p>
      <w:pPr>
        <w:pStyle w:val="BodyTextIndent2"/>
        <w:ind w:firstLine="720" w:start="0" w:end="0"/>
        <w:rPr/>
      </w:pPr>
      <w:r>
        <w:rPr/>
      </w:r>
    </w:p>
    <w:p>
      <w:pPr>
        <w:pStyle w:val="Normal"/>
        <w:numPr>
          <w:ilvl w:val="0"/>
          <w:numId w:val="4"/>
        </w:numPr>
        <w:tabs>
          <w:tab w:val="left" w:pos="720" w:leader="none"/>
        </w:tabs>
        <w:ind w:hanging="360" w:start="720" w:end="0"/>
        <w:rPr>
          <w:b/>
          <w:sz w:val="24"/>
        </w:rPr>
      </w:pPr>
      <w:r>
        <w:rPr>
          <w:b/>
          <w:sz w:val="24"/>
        </w:rPr>
        <w:t xml:space="preserve">Pipelines </w:t>
      </w:r>
      <w:r>
        <w:rPr>
          <w:b/>
          <w:sz w:val="24"/>
          <w:u w:val="single"/>
        </w:rPr>
        <w:t>should not</w:t>
      </w:r>
      <w:r>
        <w:rPr>
          <w:b/>
          <w:sz w:val="24"/>
        </w:rPr>
        <w:t xml:space="preserve"> be required to post contracts during a pending certificate proceeding.</w:t>
      </w:r>
    </w:p>
    <w:p>
      <w:pPr>
        <w:pStyle w:val="Normal"/>
        <w:rPr>
          <w:b/>
          <w:sz w:val="24"/>
        </w:rPr>
      </w:pPr>
      <w:r>
        <w:rPr>
          <w:b/>
          <w:sz w:val="24"/>
        </w:rPr>
      </w:r>
    </w:p>
    <w:p>
      <w:pPr>
        <w:pStyle w:val="BodyTextIndent2"/>
        <w:ind w:firstLine="720" w:start="0" w:end="0"/>
        <w:rPr/>
      </w:pPr>
      <w:r>
        <w:rPr/>
        <w:t xml:space="preserve">The Enron Pipelines seeks clarification that the new posting regulations do not involve the posting of contracts during a pending certificate proceeding.  The Commission already has established practices for requiring the disclosure of contracts in the certificate setting.  For example, the Commission has recognized that the names of shippers can be treated as confidential during the certificate process.  Cite </w:t>
      </w:r>
      <w:r>
        <w:rPr>
          <w:i/>
        </w:rPr>
        <w:t>ANR</w:t>
      </w:r>
      <w:r>
        <w:rPr/>
        <w:t>, CP99-241.  To the extent the Commission desires to require disclosure of contracts prior to the in-service date, such conditions can be addressed within the certificate proceeding.   Thus, the Enron Pipelines submit that there is no benefit from mandating that expansion contracts be included in firm transactional reports.   The Commission should clarify that the requirement to post contracts pertains to capacity that is in-service.</w:t>
      </w:r>
    </w:p>
    <w:p>
      <w:pPr>
        <w:pStyle w:val="BodyTextIndent2"/>
        <w:ind w:firstLine="720" w:start="0" w:end="0"/>
        <w:rPr/>
      </w:pPr>
      <w:r>
        <w:rPr/>
      </w:r>
    </w:p>
    <w:p>
      <w:pPr>
        <w:pStyle w:val="Normal"/>
        <w:numPr>
          <w:ilvl w:val="0"/>
          <w:numId w:val="4"/>
        </w:numPr>
        <w:tabs>
          <w:tab w:val="left" w:pos="720" w:leader="none"/>
        </w:tabs>
        <w:ind w:hanging="360" w:start="720" w:end="0"/>
        <w:rPr>
          <w:b/>
          <w:sz w:val="24"/>
        </w:rPr>
      </w:pPr>
      <w:r>
        <w:rPr>
          <w:b/>
          <w:sz w:val="24"/>
        </w:rPr>
        <w:t>The Commission should clarify that the shipper-initiated revisions to primary receipt and delivery points do not necessitate the reporting of existing contracts.</w:t>
      </w:r>
    </w:p>
    <w:p>
      <w:pPr>
        <w:pStyle w:val="Normal"/>
        <w:rPr>
          <w:b/>
          <w:sz w:val="24"/>
        </w:rPr>
      </w:pPr>
      <w:r>
        <w:rPr>
          <w:b/>
          <w:sz w:val="24"/>
        </w:rPr>
      </w:r>
    </w:p>
    <w:p>
      <w:pPr>
        <w:pStyle w:val="BodyTextIndent3"/>
        <w:spacing w:lineRule="auto" w:line="480"/>
        <w:ind w:firstLine="720" w:start="0" w:end="0"/>
        <w:rPr/>
      </w:pPr>
      <w:r>
        <w:rPr>
          <w:b w:val="false"/>
        </w:rPr>
        <w:t xml:space="preserve">Section 284.13(b)(1) requires that the pipeline must post newly executed contracts or </w:t>
      </w:r>
      <w:r>
        <w:rPr>
          <w:b w:val="false"/>
          <w:i/>
        </w:rPr>
        <w:t>revisions</w:t>
      </w:r>
      <w:r>
        <w:rPr>
          <w:b w:val="false"/>
        </w:rPr>
        <w:t>.  The Enron Pipelines seek clarification that this requirement does not extend to primary receipt and delivery point revisions within existing contracts.  Most firm service agreements already give shippers the right to alter their primary receipt or delivery points subject to available capacity.  But typically these point changes are effectuated through revised contractual exhibits.   To the extent the firm transactional reporting is interpreted as requiring the re-posting of contracts with each receipt and delivery point adjustment, the burden of transactional reporting is greatly increased.  Moreover, this routine activity will largely overwhelm the identification of new agreements.   Once a contract is executed, subsequent primary receipt and delivery point changes are shipper-initiated, thus this requirement cannot be explained as a means to monitor potential discrimination concerns.  Market monitoring can be satisfied through the comprehensive listing of receipt and delivery point rights that will be included in the index of customers.</w:t>
      </w:r>
    </w:p>
    <w:p>
      <w:pPr>
        <w:pStyle w:val="BodyTextIndent3"/>
        <w:spacing w:lineRule="auto" w:line="480"/>
        <w:ind w:firstLine="720" w:start="0" w:end="0"/>
        <w:rPr>
          <w:b w:val="false"/>
        </w:rPr>
      </w:pPr>
      <w:r>
        <w:rPr>
          <w:b w:val="false"/>
        </w:rPr>
        <w:t xml:space="preserve"> </w:t>
      </w:r>
    </w:p>
    <w:p>
      <w:pPr>
        <w:pStyle w:val="Normal"/>
        <w:numPr>
          <w:ilvl w:val="0"/>
          <w:numId w:val="4"/>
        </w:numPr>
        <w:tabs>
          <w:tab w:val="left" w:pos="720" w:leader="none"/>
        </w:tabs>
        <w:ind w:hanging="360" w:start="720" w:end="0"/>
        <w:rPr>
          <w:b/>
          <w:sz w:val="24"/>
        </w:rPr>
      </w:pPr>
      <w:r>
        <w:rPr>
          <w:b/>
          <w:sz w:val="24"/>
        </w:rPr>
        <w:t>Shippers should be allowed to request that their names to be masked in transactional postings.</w:t>
      </w:r>
    </w:p>
    <w:p>
      <w:pPr>
        <w:pStyle w:val="Normal"/>
        <w:ind w:firstLine="720" w:end="0"/>
        <w:rPr>
          <w:b/>
          <w:sz w:val="24"/>
        </w:rPr>
      </w:pPr>
      <w:r>
        <w:rPr>
          <w:b/>
          <w:sz w:val="24"/>
        </w:rPr>
      </w:r>
    </w:p>
    <w:p>
      <w:pPr>
        <w:pStyle w:val="Normal"/>
        <w:spacing w:lineRule="auto" w:line="480"/>
        <w:ind w:firstLine="720" w:end="0"/>
        <w:rPr/>
      </w:pPr>
      <w:r>
        <w:rPr>
          <w:sz w:val="24"/>
        </w:rPr>
        <w:t xml:space="preserve">The Commission acknowledged that the immediate disclosure of shipper names is not necessary for the Commission and other shippers to monitor undue discrimination.  </w:t>
      </w:r>
      <w:r>
        <w:rPr>
          <w:i/>
          <w:sz w:val="24"/>
        </w:rPr>
        <w:t>Slip op.</w:t>
      </w:r>
      <w:r>
        <w:rPr>
          <w:sz w:val="24"/>
        </w:rPr>
        <w:t xml:space="preserve"> at 186.  Notwithstanding this conclusion, the Commission decided to require name posting, reasoning it would be burdensome to require later posting of the names.  The Enron Pipelines submit that a mechanism for delayed name posting already exists in the form of the index of customers.  Accordingly, non-affiliated shippers should be permitted to request that their names be masked from transactional postings.  This change is consistent with the treatment of name posting on OASIS.  Under Section 37.6(e)(iii) of the regulations, the identity of the parties can be masked for a period of time if requested.  </w:t>
      </w:r>
    </w:p>
    <w:p>
      <w:pPr>
        <w:pStyle w:val="Normal"/>
        <w:spacing w:lineRule="auto" w:line="480"/>
        <w:ind w:firstLine="720" w:end="0"/>
        <w:rPr>
          <w:sz w:val="24"/>
        </w:rPr>
      </w:pPr>
      <w:r>
        <w:rPr>
          <w:sz w:val="24"/>
        </w:rPr>
      </w:r>
    </w:p>
    <w:p>
      <w:pPr>
        <w:pStyle w:val="Normal"/>
        <w:numPr>
          <w:ilvl w:val="0"/>
          <w:numId w:val="4"/>
        </w:numPr>
        <w:tabs>
          <w:tab w:val="left" w:pos="720" w:leader="none"/>
        </w:tabs>
        <w:ind w:hanging="360" w:start="720" w:end="0"/>
        <w:rPr>
          <w:b/>
          <w:sz w:val="24"/>
        </w:rPr>
      </w:pPr>
      <w:r>
        <w:rPr>
          <w:b/>
          <w:sz w:val="24"/>
        </w:rPr>
        <w:t>The Commission should eliminate the requirement to file negotiated rate contracts concurrent with the implementation of the transactional posting rules.</w:t>
      </w:r>
    </w:p>
    <w:p>
      <w:pPr>
        <w:pStyle w:val="Normal"/>
        <w:rPr>
          <w:b/>
          <w:sz w:val="24"/>
        </w:rPr>
      </w:pPr>
      <w:r>
        <w:rPr>
          <w:b/>
          <w:sz w:val="24"/>
        </w:rPr>
      </w:r>
    </w:p>
    <w:p>
      <w:pPr>
        <w:pStyle w:val="Normal"/>
        <w:spacing w:lineRule="auto" w:line="480"/>
        <w:ind w:firstLine="720" w:end="0"/>
        <w:rPr/>
      </w:pPr>
      <w:r>
        <w:rPr>
          <w:sz w:val="24"/>
        </w:rPr>
        <w:t xml:space="preserve">With the new requirement to post firm transactions, including any special details pertaining the contract, the Commission and shippers will already have advance notification of negotiated rate transactions.  Accordingly, the Commission should eliminate the requirement to file negotiated rate agreements.  This follows the Commission’s rationale for eliminating current monthly discount reports.  Moreover, this approach is consistent with the stated goal of reducing periodic filings, and instead relying on the Internet for posting and maintenance of information.  </w:t>
      </w:r>
      <w:r>
        <w:rPr>
          <w:i/>
          <w:sz w:val="24"/>
        </w:rPr>
        <w:t>Slip. op</w:t>
      </w:r>
      <w:r>
        <w:rPr>
          <w:sz w:val="24"/>
        </w:rPr>
        <w:t xml:space="preserve"> at 175.  </w:t>
      </w:r>
    </w:p>
    <w:p>
      <w:pPr>
        <w:pStyle w:val="Normal"/>
        <w:rPr>
          <w:b/>
          <w:sz w:val="24"/>
        </w:rPr>
      </w:pPr>
      <w:r>
        <w:rPr>
          <w:b/>
          <w:sz w:val="24"/>
        </w:rPr>
      </w:r>
    </w:p>
    <w:p>
      <w:pPr>
        <w:pStyle w:val="Normal"/>
        <w:numPr>
          <w:ilvl w:val="0"/>
          <w:numId w:val="4"/>
        </w:numPr>
        <w:tabs>
          <w:tab w:val="left" w:pos="720" w:leader="none"/>
        </w:tabs>
        <w:ind w:hanging="360" w:start="720" w:end="0"/>
        <w:rPr>
          <w:b/>
          <w:sz w:val="24"/>
        </w:rPr>
      </w:pPr>
      <w:r>
        <w:rPr>
          <w:b/>
          <w:sz w:val="24"/>
        </w:rPr>
        <w:t xml:space="preserve">The Commission should eliminate the requirement to post total design capacity. </w:t>
      </w:r>
    </w:p>
    <w:p>
      <w:pPr>
        <w:pStyle w:val="Normal"/>
        <w:rPr>
          <w:b/>
          <w:sz w:val="24"/>
        </w:rPr>
      </w:pPr>
      <w:r>
        <w:rPr>
          <w:b/>
          <w:sz w:val="24"/>
        </w:rPr>
      </w:r>
    </w:p>
    <w:p>
      <w:pPr>
        <w:pStyle w:val="BodyText"/>
        <w:spacing w:lineRule="auto" w:line="480"/>
        <w:ind w:firstLine="720" w:end="0"/>
        <w:rPr>
          <w:b w:val="false"/>
        </w:rPr>
      </w:pPr>
      <w:r>
        <w:rPr>
          <w:b w:val="false"/>
        </w:rPr>
        <w:t>The Enron Pipelines do not oppose the expanded requirements to post the amounts scheduled at points or segments on a daily basis and to post data on service outages.  We have worked to support similar standards at GISB.  And, more importantly, the Enron Pipelines already post this information on each of its web sites.</w:t>
      </w:r>
    </w:p>
    <w:p>
      <w:pPr>
        <w:pStyle w:val="Normal"/>
        <w:spacing w:lineRule="auto" w:line="480"/>
        <w:ind w:firstLine="720" w:end="0"/>
        <w:rPr>
          <w:sz w:val="24"/>
        </w:rPr>
      </w:pPr>
      <w:r>
        <w:rPr>
          <w:sz w:val="24"/>
        </w:rPr>
        <w:t xml:space="preserve">In contrast, the Enron Pipelines are concerned about the requirement to post total design capacity for each point or segment.   Pipelines do not operate under static conditions.  The capacity of a point depends not only on the meter capacity of the point, but on the location of other points on a lateral, the pressures at which the lateral is being operated, and the location and direction of actual gas flows.  If the operational available capacity on a segment is limited to 100,000 MMBtu/day, it is of little value to know that the design capacity of an upstream point is 150,000 MMBtu.    For these reasons GISB recently considered and declined the addition of design capacity to the available capacity posting.  A tremendous amount of resources would have to be invested into tools to maintain meaningful design numbers.   And, ultimately for all the effort and expense, potential shippers gain little useful information on available capacity. </w:t>
      </w:r>
    </w:p>
    <w:p>
      <w:pPr>
        <w:pStyle w:val="Normal"/>
        <w:ind w:firstLine="360" w:end="0"/>
        <w:rPr>
          <w:sz w:val="24"/>
        </w:rPr>
      </w:pPr>
      <w:r>
        <w:rPr>
          <w:sz w:val="24"/>
        </w:rPr>
      </w:r>
    </w:p>
    <w:p>
      <w:pPr>
        <w:pStyle w:val="Normal"/>
        <w:rPr>
          <w:sz w:val="24"/>
        </w:rPr>
      </w:pPr>
      <w:r>
        <w:rPr>
          <w:sz w:val="24"/>
        </w:rPr>
      </w:r>
    </w:p>
    <w:p>
      <w:pPr>
        <w:pStyle w:val="Normal"/>
        <w:numPr>
          <w:ilvl w:val="0"/>
          <w:numId w:val="4"/>
        </w:numPr>
        <w:tabs>
          <w:tab w:val="left" w:pos="720" w:leader="none"/>
        </w:tabs>
        <w:ind w:hanging="360" w:start="720" w:end="0"/>
        <w:rPr>
          <w:b/>
          <w:sz w:val="24"/>
        </w:rPr>
      </w:pPr>
      <w:r>
        <w:rPr>
          <w:b/>
          <w:sz w:val="24"/>
        </w:rPr>
        <w:t xml:space="preserve">The Commission should revise the standards of conduct to require the posting of the names of only senior employees involved in transportation or gas sales.  </w:t>
      </w:r>
    </w:p>
    <w:p>
      <w:pPr>
        <w:pStyle w:val="Normal"/>
        <w:rPr>
          <w:b/>
          <w:sz w:val="24"/>
        </w:rPr>
      </w:pPr>
      <w:r>
        <w:rPr>
          <w:b/>
          <w:sz w:val="24"/>
        </w:rPr>
      </w:r>
    </w:p>
    <w:p>
      <w:pPr>
        <w:pStyle w:val="Normal"/>
        <w:spacing w:lineRule="auto" w:line="480"/>
        <w:ind w:firstLine="720" w:end="0"/>
        <w:rPr>
          <w:sz w:val="24"/>
        </w:rPr>
      </w:pPr>
      <w:r>
        <w:rPr>
          <w:sz w:val="24"/>
        </w:rPr>
        <w:t xml:space="preserve">The Enron Pipelines are very concerned about the requirement to post employee names and phone numbers on the Internet.  In a tight job market where companies put a premium on intellectual capital, this requirement subjects the company to the loss of qualified employees to external recruiters.  Both pipeline and shippers are harmed by the loss of qualified transportation personnel and the cost of training new employees.  Further, this requirement infringes on the privacy of employees.   </w:t>
      </w:r>
    </w:p>
    <w:p>
      <w:pPr>
        <w:pStyle w:val="Normal"/>
        <w:spacing w:lineRule="auto" w:line="480"/>
        <w:ind w:firstLine="720" w:end="0"/>
        <w:rPr/>
      </w:pPr>
      <w:r>
        <w:rPr>
          <w:sz w:val="24"/>
        </w:rPr>
        <w:t xml:space="preserve">The Commission argues that these concerns are mitigated because the requirement only extends only to the posting of senior employee names.  </w:t>
      </w:r>
      <w:r>
        <w:rPr>
          <w:i/>
          <w:sz w:val="24"/>
        </w:rPr>
        <w:t>Slip op.</w:t>
      </w:r>
      <w:r>
        <w:rPr>
          <w:sz w:val="24"/>
        </w:rPr>
        <w:t xml:space="preserve"> at 201. But, section 161.3(l)(2)(ii)(B) requires a pipeline to post organizational charts showing the business units, job titles, job descriptions and chain of command for </w:t>
      </w:r>
      <w:r>
        <w:rPr>
          <w:i/>
          <w:sz w:val="24"/>
        </w:rPr>
        <w:t>all</w:t>
      </w:r>
      <w:r>
        <w:rPr>
          <w:sz w:val="24"/>
        </w:rPr>
        <w:t xml:space="preserve"> positions within the pipeline, with the exception of clerical, maintenance and field positions.   </w:t>
      </w:r>
    </w:p>
    <w:p>
      <w:pPr>
        <w:pStyle w:val="Normal"/>
        <w:spacing w:lineRule="auto" w:line="480"/>
        <w:ind w:firstLine="720" w:end="0"/>
        <w:rPr>
          <w:sz w:val="24"/>
        </w:rPr>
      </w:pPr>
      <w:r>
        <w:rPr>
          <w:sz w:val="24"/>
        </w:rPr>
        <w:t xml:space="preserve">This regulatory text should be corrected to reflect the Commission’s intention to require reporting of senior employees only.   Second, the requirement should extend only to senior employees that supervise or are involved in transportation of gas sales.  </w:t>
      </w:r>
    </w:p>
    <w:p>
      <w:pPr>
        <w:pStyle w:val="Normal"/>
        <w:rPr>
          <w:b/>
          <w:sz w:val="24"/>
        </w:rPr>
      </w:pPr>
      <w:r>
        <w:rPr>
          <w:b/>
          <w:sz w:val="24"/>
        </w:rPr>
      </w:r>
    </w:p>
    <w:p>
      <w:pPr>
        <w:pStyle w:val="Normal"/>
        <w:numPr>
          <w:ilvl w:val="0"/>
          <w:numId w:val="4"/>
        </w:numPr>
        <w:tabs>
          <w:tab w:val="left" w:pos="720" w:leader="none"/>
        </w:tabs>
        <w:ind w:hanging="360" w:start="720" w:end="0"/>
        <w:rPr>
          <w:b/>
          <w:sz w:val="24"/>
        </w:rPr>
      </w:pPr>
      <w:r>
        <w:rPr>
          <w:b/>
          <w:sz w:val="24"/>
        </w:rPr>
        <w:t>The Commission should revise the standards of conduct to permit additional time to learn of and post corporate organizational changes</w:t>
      </w:r>
    </w:p>
    <w:p>
      <w:pPr>
        <w:pStyle w:val="Normal"/>
        <w:rPr>
          <w:b/>
          <w:sz w:val="24"/>
        </w:rPr>
      </w:pPr>
      <w:r>
        <w:rPr>
          <w:b/>
          <w:sz w:val="24"/>
        </w:rPr>
      </w:r>
    </w:p>
    <w:p>
      <w:pPr>
        <w:pStyle w:val="BodyText2"/>
        <w:spacing w:lineRule="auto" w:line="480"/>
        <w:ind w:firstLine="720" w:end="0"/>
        <w:rPr>
          <w:b/>
        </w:rPr>
      </w:pPr>
      <w:r>
        <w:rPr/>
        <w:t>The Enron Pipelines are not objecting to the requirement to post the organizational structure of the parent corporation with the relative position of the pipeline and all marketing affiliates.  However, the Enron Pipelines do not believe it is reasonable to require these charts be updated within three days of any change.  Information on corporate organizational changes is often held as confidential until the change occurs.  Once organizational changes are public, memos documenting reporting relationships generally take an additional period of time. The Enron Pipelines ask that the Commission consider its own experiences in developing the new OMTR and OEP offices and the period of time involved in informing impacted employees and developing organizational charts.   Further, the Commission explains that the revised organizational information is based on requirements in the electric industry.</w:t>
      </w:r>
      <w:r>
        <w:rPr>
          <w:rStyle w:val="FootnoteCharacters"/>
          <w:rStyle w:val="FootnoteReference"/>
        </w:rPr>
        <w:footnoteReference w:id="4"/>
      </w:r>
      <w:r>
        <w:rPr/>
        <w:t xml:space="preserve">   But, there is no similar three day update requirement for the OASIS postings. The Enron Pipelines ask the Commission to consider revising the regulation to require that non-pipeline organizational charts be kept current within a month of changes</w:t>
      </w:r>
    </w:p>
    <w:p>
      <w:pPr>
        <w:pStyle w:val="Normal"/>
        <w:rPr>
          <w:b/>
          <w:sz w:val="24"/>
        </w:rPr>
      </w:pPr>
      <w:r>
        <w:rPr>
          <w:b/>
          <w:sz w:val="24"/>
        </w:rPr>
      </w:r>
    </w:p>
    <w:p>
      <w:pPr>
        <w:pStyle w:val="Normal"/>
        <w:numPr>
          <w:ilvl w:val="0"/>
          <w:numId w:val="4"/>
        </w:numPr>
        <w:tabs>
          <w:tab w:val="left" w:pos="720" w:leader="none"/>
        </w:tabs>
        <w:ind w:hanging="360" w:start="720" w:end="0"/>
        <w:rPr>
          <w:b/>
          <w:sz w:val="24"/>
        </w:rPr>
      </w:pPr>
      <w:r>
        <w:rPr>
          <w:b/>
          <w:sz w:val="24"/>
        </w:rPr>
        <w:t xml:space="preserve">The Commission should consider extending the implementation of the new transactional reporting requirements to permit coordination with GISB. </w:t>
      </w:r>
    </w:p>
    <w:p>
      <w:pPr>
        <w:pStyle w:val="Normal"/>
        <w:rPr>
          <w:b/>
          <w:sz w:val="24"/>
        </w:rPr>
      </w:pPr>
      <w:r>
        <w:rPr>
          <w:b/>
          <w:sz w:val="24"/>
        </w:rPr>
        <w:tab/>
        <w:t>{To Be Added}</w:t>
      </w:r>
    </w:p>
    <w:p>
      <w:pPr>
        <w:pStyle w:val="Normal"/>
        <w:spacing w:lineRule="auto" w:line="480"/>
        <w:rPr>
          <w:b/>
          <w:sz w:val="24"/>
        </w:rPr>
      </w:pPr>
      <w:r>
        <w:rPr>
          <w:b/>
          <w:sz w:val="24"/>
        </w:rPr>
      </w:r>
    </w:p>
    <w:p>
      <w:pPr>
        <w:pStyle w:val="Normal"/>
        <w:spacing w:lineRule="auto" w:line="480"/>
        <w:jc w:val="center"/>
        <w:rPr>
          <w:b/>
          <w:sz w:val="24"/>
        </w:rPr>
      </w:pPr>
      <w:r>
        <w:rPr>
          <w:b/>
          <w:sz w:val="24"/>
        </w:rPr>
        <w:t>CONCLUSION {To Be Added}</w:t>
      </w:r>
    </w:p>
    <w:p>
      <w:pPr>
        <w:pStyle w:val="Normal"/>
        <w:spacing w:lineRule="auto" w:line="480"/>
        <w:jc w:val="center"/>
        <w:rPr/>
      </w:pPr>
      <w:r>
        <w:rPr>
          <w:b/>
          <w:sz w:val="24"/>
        </w:rPr>
        <w:tab/>
      </w:r>
      <w:r>
        <w:rPr>
          <w:sz w:val="24"/>
        </w:rPr>
        <w:t xml:space="preserve">.  </w:t>
      </w:r>
    </w:p>
    <w:p>
      <w:pPr>
        <w:pStyle w:val="Normal"/>
        <w:spacing w:lineRule="auto" w:line="480"/>
        <w:ind w:start="3600" w:end="0"/>
        <w:rPr>
          <w:sz w:val="24"/>
        </w:rPr>
      </w:pPr>
      <w:r>
        <w:rPr>
          <w:sz w:val="24"/>
        </w:rPr>
        <w:t>Respectfully submitted,</w:t>
      </w:r>
    </w:p>
    <w:p>
      <w:pPr>
        <w:pStyle w:val="Normal"/>
        <w:spacing w:lineRule="auto" w:line="480"/>
        <w:ind w:start="3600" w:end="0"/>
        <w:rPr>
          <w:sz w:val="24"/>
        </w:rPr>
      </w:pPr>
      <w:r>
        <w:rPr>
          <w:sz w:val="24"/>
        </w:rPr>
      </w:r>
    </w:p>
    <w:p>
      <w:pPr>
        <w:pStyle w:val="Normal"/>
        <w:ind w:start="3600" w:end="0"/>
        <w:rPr>
          <w:sz w:val="24"/>
        </w:rPr>
      </w:pPr>
      <w:r>
        <w:rPr>
          <w:sz w:val="24"/>
        </w:rPr>
        <w:t>By _____________________</w:t>
      </w:r>
    </w:p>
    <w:p>
      <w:pPr>
        <w:pStyle w:val="Heading7"/>
        <w:rPr/>
      </w:pPr>
      <w:r>
        <w:rPr/>
        <w:t>Shelley A. Corman</w:t>
      </w:r>
    </w:p>
    <w:p>
      <w:pPr>
        <w:pStyle w:val="Heading8"/>
        <w:rPr/>
      </w:pPr>
      <w:r>
        <w:rPr/>
        <w:t>Vice President, Reg. Affairs and Asst. Gen. Counsel</w:t>
      </w:r>
    </w:p>
    <w:p>
      <w:pPr>
        <w:pStyle w:val="Heading7"/>
        <w:rPr/>
      </w:pPr>
      <w:r>
        <w:rPr/>
        <w:t>Enron Gas Pipeline Group</w:t>
      </w:r>
    </w:p>
    <w:p>
      <w:pPr>
        <w:pStyle w:val="Heading7"/>
        <w:rPr/>
      </w:pPr>
      <w:r>
        <w:rPr/>
        <w:t>1400 Smith Street</w:t>
      </w:r>
    </w:p>
    <w:p>
      <w:pPr>
        <w:pStyle w:val="Heading7"/>
        <w:rPr/>
      </w:pPr>
      <w:r>
        <w:rPr/>
        <w:t>P. O. Box 1188</w:t>
      </w:r>
    </w:p>
    <w:p>
      <w:pPr>
        <w:pStyle w:val="Heading7"/>
        <w:rPr/>
      </w:pPr>
      <w:r>
        <w:rPr/>
        <w:t>Houston, Texas  77251-1188</w:t>
      </w:r>
    </w:p>
    <w:p>
      <w:pPr>
        <w:pStyle w:val="Normal"/>
        <w:ind w:hanging="450" w:start="4320" w:end="0"/>
        <w:rPr>
          <w:sz w:val="24"/>
        </w:rPr>
      </w:pPr>
      <w:r>
        <w:rPr>
          <w:sz w:val="24"/>
        </w:rPr>
        <w:t>(713) 853-7083</w:t>
      </w:r>
    </w:p>
    <w:p>
      <w:pPr>
        <w:pStyle w:val="Normal"/>
        <w:ind w:start="4320" w:end="0"/>
        <w:rPr>
          <w:sz w:val="24"/>
        </w:rPr>
      </w:pPr>
      <w:r>
        <w:rPr>
          <w:sz w:val="24"/>
        </w:rPr>
      </w:r>
    </w:p>
    <w:p>
      <w:pPr>
        <w:pStyle w:val="Normal"/>
        <w:rPr>
          <w:sz w:val="24"/>
        </w:rPr>
      </w:pPr>
      <w:r>
        <w:rPr>
          <w:sz w:val="24"/>
        </w:rPr>
        <w:t>Dated: March 10, 2000</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u w:val="single"/>
        </w:rPr>
        <w:t>CERTIFICATE OF SERVICE</w:t>
      </w:r>
    </w:p>
    <w:p>
      <w:pPr>
        <w:pStyle w:val="Normal"/>
        <w:jc w:val="center"/>
        <w:rPr>
          <w:sz w:val="24"/>
        </w:rPr>
      </w:pPr>
      <w:r>
        <w:rPr>
          <w:sz w:val="24"/>
        </w:rPr>
      </w:r>
    </w:p>
    <w:p>
      <w:pPr>
        <w:pStyle w:val="Normal"/>
        <w:jc w:val="center"/>
        <w:rPr>
          <w:sz w:val="24"/>
        </w:rPr>
      </w:pPr>
      <w:r>
        <w:rPr>
          <w:sz w:val="24"/>
        </w:rPr>
      </w:r>
    </w:p>
    <w:p>
      <w:pPr>
        <w:pStyle w:val="Normal"/>
        <w:spacing w:lineRule="auto" w:line="480"/>
        <w:rPr>
          <w:sz w:val="24"/>
        </w:rPr>
      </w:pPr>
      <w:r>
        <w:rPr>
          <w:sz w:val="24"/>
        </w:rPr>
        <w:tab/>
        <w:t>I hereby certify that I have this day served the foregoing document by mail upon each person designated on the official service list compiled by the Secretary in this proceeding.</w:t>
      </w:r>
    </w:p>
    <w:p>
      <w:pPr>
        <w:pStyle w:val="Normal"/>
        <w:spacing w:lineRule="auto" w:line="480"/>
        <w:rPr>
          <w:sz w:val="24"/>
        </w:rPr>
      </w:pPr>
      <w:r>
        <w:rPr>
          <w:sz w:val="24"/>
        </w:rPr>
        <w:tab/>
        <w:t>Dated at Washington, D. C. this 10th day of March, 2000.</w:t>
      </w:r>
    </w:p>
    <w:p>
      <w:pPr>
        <w:pStyle w:val="Normal"/>
        <w:spacing w:lineRule="auto" w:line="480"/>
        <w:rPr>
          <w:sz w:val="24"/>
        </w:rPr>
      </w:pPr>
      <w:r>
        <w:rPr>
          <w:sz w:val="24"/>
        </w:rPr>
      </w:r>
    </w:p>
    <w:p>
      <w:pPr>
        <w:pStyle w:val="Normal"/>
        <w:spacing w:lineRule="auto" w:line="480"/>
        <w:rPr>
          <w:sz w:val="24"/>
        </w:rPr>
      </w:pPr>
      <w:r>
        <w:rPr>
          <w:sz w:val="24"/>
        </w:rPr>
      </w:r>
    </w:p>
    <w:p>
      <w:pPr>
        <w:pStyle w:val="Normal"/>
        <w:ind w:hanging="360" w:start="5400" w:end="0"/>
        <w:rPr>
          <w:sz w:val="24"/>
        </w:rPr>
      </w:pPr>
      <w:r>
        <w:rPr>
          <w:sz w:val="24"/>
        </w:rPr>
        <w:tab/>
        <w:t>____________________________</w:t>
      </w:r>
    </w:p>
    <w:p>
      <w:pPr>
        <w:pStyle w:val="Heading5"/>
        <w:rPr/>
      </w:pPr>
      <w:r>
        <w:rPr/>
        <w:tab/>
        <w:t>Shelley A. Corman, Vice President</w:t>
      </w:r>
    </w:p>
    <w:p>
      <w:pPr>
        <w:pStyle w:val="Heading6"/>
        <w:rPr/>
      </w:pPr>
      <w:r>
        <w:rPr/>
        <w:t>Regulatory Affairs &amp; Asst.Gen. Counsel</w:t>
      </w:r>
    </w:p>
    <w:p>
      <w:pPr>
        <w:pStyle w:val="Normal"/>
        <w:tabs>
          <w:tab w:val="clear" w:pos="720"/>
          <w:tab w:val="left" w:pos="5760" w:leader="none"/>
        </w:tabs>
        <w:rPr>
          <w:sz w:val="24"/>
        </w:rPr>
      </w:pPr>
      <w:r>
        <w:rPr>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r>
        <w:br w:type="page"/>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sz w:val="24"/>
        </w:rPr>
      </w:pPr>
      <w:r>
        <w:rPr>
          <w:sz w:val="24"/>
        </w:rPr>
        <w:t>March 10, 2000</w:t>
      </w:r>
    </w:p>
    <w:p>
      <w:pPr>
        <w:pStyle w:val="Normal"/>
        <w:tabs>
          <w:tab w:val="clear" w:pos="720"/>
          <w:tab w:val="left" w:pos="5760" w:leader="none"/>
        </w:tabs>
        <w:rPr>
          <w:sz w:val="24"/>
        </w:rPr>
      </w:pPr>
      <w:r>
        <w:rPr>
          <w:sz w:val="24"/>
        </w:rPr>
      </w:r>
    </w:p>
    <w:p>
      <w:pPr>
        <w:pStyle w:val="Normal"/>
        <w:tabs>
          <w:tab w:val="clear" w:pos="720"/>
          <w:tab w:val="left" w:pos="5760" w:leader="none"/>
        </w:tabs>
        <w:rPr>
          <w:sz w:val="24"/>
        </w:rPr>
      </w:pPr>
      <w:r>
        <w:rPr>
          <w:sz w:val="24"/>
        </w:rPr>
      </w:r>
    </w:p>
    <w:p>
      <w:pPr>
        <w:pStyle w:val="Normal"/>
        <w:tabs>
          <w:tab w:val="clear" w:pos="720"/>
          <w:tab w:val="left" w:pos="5760" w:leader="none"/>
        </w:tabs>
        <w:rPr>
          <w:sz w:val="24"/>
        </w:rPr>
      </w:pPr>
      <w:r>
        <w:rPr>
          <w:sz w:val="24"/>
        </w:rPr>
      </w:r>
    </w:p>
    <w:p>
      <w:pPr>
        <w:pStyle w:val="Normal"/>
        <w:tabs>
          <w:tab w:val="clear" w:pos="720"/>
          <w:tab w:val="left" w:pos="5760" w:leader="none"/>
        </w:tabs>
        <w:rPr>
          <w:sz w:val="24"/>
        </w:rPr>
      </w:pPr>
      <w:r>
        <w:rPr>
          <w:sz w:val="24"/>
        </w:rPr>
        <w:t>Mr. David Boergers, Secretary</w:t>
      </w:r>
    </w:p>
    <w:p>
      <w:pPr>
        <w:pStyle w:val="Normal"/>
        <w:tabs>
          <w:tab w:val="clear" w:pos="720"/>
          <w:tab w:val="left" w:pos="5760" w:leader="none"/>
        </w:tabs>
        <w:rPr>
          <w:sz w:val="24"/>
        </w:rPr>
      </w:pPr>
      <w:r>
        <w:rPr>
          <w:sz w:val="24"/>
        </w:rPr>
        <w:t>Federal Energy Regulatory Commission</w:t>
      </w:r>
    </w:p>
    <w:p>
      <w:pPr>
        <w:pStyle w:val="Normal"/>
        <w:tabs>
          <w:tab w:val="clear" w:pos="720"/>
          <w:tab w:val="left" w:pos="5760" w:leader="none"/>
        </w:tabs>
        <w:rPr>
          <w:sz w:val="24"/>
        </w:rPr>
      </w:pPr>
      <w:r>
        <w:rPr>
          <w:sz w:val="24"/>
        </w:rPr>
        <w:t>888 First Street, N.E.</w:t>
      </w:r>
    </w:p>
    <w:p>
      <w:pPr>
        <w:pStyle w:val="Normal"/>
        <w:tabs>
          <w:tab w:val="clear" w:pos="720"/>
          <w:tab w:val="left" w:pos="5760" w:leader="none"/>
        </w:tabs>
        <w:rPr>
          <w:sz w:val="24"/>
        </w:rPr>
      </w:pPr>
      <w:r>
        <w:rPr>
          <w:sz w:val="24"/>
        </w:rPr>
        <w:t>Office of the Secretary, Room 1A, East</w:t>
      </w:r>
    </w:p>
    <w:p>
      <w:pPr>
        <w:pStyle w:val="Normal"/>
        <w:tabs>
          <w:tab w:val="clear" w:pos="720"/>
          <w:tab w:val="left" w:pos="5760" w:leader="none"/>
        </w:tabs>
        <w:rPr>
          <w:sz w:val="24"/>
        </w:rPr>
      </w:pPr>
      <w:r>
        <w:rPr>
          <w:sz w:val="24"/>
        </w:rPr>
        <w:t>Washington, D. C. 20426</w:t>
      </w:r>
    </w:p>
    <w:p>
      <w:pPr>
        <w:pStyle w:val="Normal"/>
        <w:tabs>
          <w:tab w:val="clear" w:pos="720"/>
          <w:tab w:val="left" w:pos="5760" w:leader="none"/>
        </w:tabs>
        <w:rPr>
          <w:sz w:val="24"/>
        </w:rPr>
      </w:pPr>
      <w:r>
        <w:rPr>
          <w:sz w:val="24"/>
        </w:rPr>
      </w:r>
    </w:p>
    <w:p>
      <w:pPr>
        <w:pStyle w:val="Normal"/>
        <w:tabs>
          <w:tab w:val="clear" w:pos="720"/>
          <w:tab w:val="left" w:pos="900" w:leader="none"/>
          <w:tab w:val="left" w:pos="5760" w:leader="none"/>
        </w:tabs>
        <w:rPr>
          <w:sz w:val="24"/>
        </w:rPr>
      </w:pPr>
      <w:r>
        <w:rPr>
          <w:sz w:val="24"/>
        </w:rPr>
        <w:t>Re:</w:t>
        <w:tab/>
      </w:r>
    </w:p>
    <w:p>
      <w:pPr>
        <w:pStyle w:val="Normal"/>
        <w:tabs>
          <w:tab w:val="clear" w:pos="720"/>
          <w:tab w:val="left" w:pos="900" w:leader="none"/>
          <w:tab w:val="left" w:pos="5760" w:leader="none"/>
        </w:tabs>
        <w:rPr>
          <w:sz w:val="24"/>
        </w:rPr>
      </w:pPr>
      <w:r>
        <w:rPr>
          <w:sz w:val="24"/>
        </w:rPr>
      </w:r>
    </w:p>
    <w:p>
      <w:pPr>
        <w:pStyle w:val="Normal"/>
        <w:tabs>
          <w:tab w:val="clear" w:pos="720"/>
          <w:tab w:val="left" w:pos="900" w:leader="none"/>
          <w:tab w:val="left" w:pos="5760" w:leader="none"/>
        </w:tabs>
        <w:rPr>
          <w:sz w:val="24"/>
        </w:rPr>
      </w:pPr>
      <w:r>
        <w:rPr>
          <w:sz w:val="24"/>
        </w:rPr>
        <w:t>Dear Mr. Boergers:</w:t>
      </w:r>
    </w:p>
    <w:p>
      <w:pPr>
        <w:pStyle w:val="Normal"/>
        <w:tabs>
          <w:tab w:val="clear" w:pos="720"/>
          <w:tab w:val="left" w:pos="900" w:leader="none"/>
          <w:tab w:val="left" w:pos="5760" w:leader="none"/>
        </w:tabs>
        <w:rPr>
          <w:sz w:val="24"/>
        </w:rPr>
      </w:pPr>
      <w:r>
        <w:rPr>
          <w:sz w:val="24"/>
        </w:rPr>
      </w:r>
    </w:p>
    <w:p>
      <w:pPr>
        <w:pStyle w:val="Normal"/>
        <w:tabs>
          <w:tab w:val="clear" w:pos="720"/>
          <w:tab w:val="left" w:pos="900" w:leader="none"/>
          <w:tab w:val="left" w:pos="5760" w:leader="none"/>
        </w:tabs>
        <w:rPr>
          <w:sz w:val="24"/>
        </w:rPr>
      </w:pPr>
      <w:r>
        <w:rPr>
          <w:sz w:val="24"/>
        </w:rPr>
        <w:tab/>
        <w:t>Enclosed for filing with the Commission in the captioned docket are an original and</w:t>
      </w:r>
    </w:p>
    <w:p>
      <w:pPr>
        <w:pStyle w:val="Normal"/>
        <w:tabs>
          <w:tab w:val="clear" w:pos="720"/>
          <w:tab w:val="left" w:pos="900" w:leader="none"/>
          <w:tab w:val="left" w:pos="5760" w:leader="none"/>
        </w:tabs>
        <w:rPr>
          <w:sz w:val="24"/>
        </w:rPr>
      </w:pPr>
      <w:r>
        <w:rPr>
          <w:sz w:val="24"/>
        </w:rPr>
        <w:t xml:space="preserve">fourteen (14) copies of "Request for Rehearing and Clarification of The Enron Interstate Pipelines" in the captioned proceeding.  Also enclosed are three extra copies to be file-stamped and returned to the messenger. </w:t>
      </w:r>
    </w:p>
    <w:p>
      <w:pPr>
        <w:pStyle w:val="Normal"/>
        <w:tabs>
          <w:tab w:val="clear" w:pos="720"/>
          <w:tab w:val="left" w:pos="900" w:leader="none"/>
          <w:tab w:val="left" w:pos="5760" w:leader="none"/>
        </w:tabs>
        <w:rPr>
          <w:sz w:val="24"/>
        </w:rPr>
      </w:pPr>
      <w:r>
        <w:rPr>
          <w:sz w:val="24"/>
        </w:rPr>
      </w:r>
    </w:p>
    <w:p>
      <w:pPr>
        <w:pStyle w:val="Normal"/>
        <w:tabs>
          <w:tab w:val="clear" w:pos="720"/>
          <w:tab w:val="left" w:pos="900" w:leader="none"/>
        </w:tabs>
        <w:ind w:start="5040" w:end="0"/>
        <w:rPr>
          <w:sz w:val="24"/>
        </w:rPr>
      </w:pPr>
      <w:r>
        <w:rPr>
          <w:sz w:val="24"/>
        </w:rPr>
        <w:t>Very truly yours,</w:t>
      </w:r>
    </w:p>
    <w:p>
      <w:pPr>
        <w:pStyle w:val="Normal"/>
        <w:tabs>
          <w:tab w:val="clear" w:pos="720"/>
          <w:tab w:val="left" w:pos="900" w:leader="none"/>
        </w:tabs>
        <w:ind w:start="5040" w:end="0"/>
        <w:rPr>
          <w:sz w:val="24"/>
        </w:rPr>
      </w:pPr>
      <w:r>
        <w:rPr>
          <w:sz w:val="24"/>
        </w:rPr>
      </w:r>
    </w:p>
    <w:p>
      <w:pPr>
        <w:pStyle w:val="Normal"/>
        <w:tabs>
          <w:tab w:val="clear" w:pos="720"/>
          <w:tab w:val="left" w:pos="900" w:leader="none"/>
        </w:tabs>
        <w:ind w:start="5040" w:end="0"/>
        <w:rPr>
          <w:sz w:val="24"/>
        </w:rPr>
      </w:pPr>
      <w:r>
        <w:rPr>
          <w:sz w:val="24"/>
        </w:rPr>
      </w:r>
    </w:p>
    <w:p>
      <w:pPr>
        <w:pStyle w:val="Normal"/>
        <w:tabs>
          <w:tab w:val="clear" w:pos="720"/>
          <w:tab w:val="left" w:pos="900" w:leader="none"/>
        </w:tabs>
        <w:ind w:start="5040" w:end="0"/>
        <w:rPr>
          <w:sz w:val="24"/>
        </w:rPr>
      </w:pPr>
      <w:r>
        <w:rPr>
          <w:sz w:val="24"/>
        </w:rPr>
      </w:r>
    </w:p>
    <w:p>
      <w:pPr>
        <w:pStyle w:val="Normal"/>
        <w:tabs>
          <w:tab w:val="clear" w:pos="720"/>
          <w:tab w:val="left" w:pos="900" w:leader="none"/>
        </w:tabs>
        <w:ind w:start="5040" w:end="0"/>
        <w:rPr>
          <w:sz w:val="24"/>
        </w:rPr>
      </w:pPr>
      <w:r>
        <w:rPr>
          <w:sz w:val="24"/>
        </w:rPr>
        <w:t>Shelley A. Corman</w:t>
      </w:r>
    </w:p>
    <w:p>
      <w:pPr>
        <w:pStyle w:val="Normal"/>
        <w:tabs>
          <w:tab w:val="clear" w:pos="720"/>
          <w:tab w:val="left" w:pos="900" w:leader="none"/>
        </w:tabs>
        <w:ind w:start="5040" w:end="0"/>
        <w:rPr>
          <w:sz w:val="24"/>
        </w:rPr>
      </w:pPr>
      <w:r>
        <w:rPr>
          <w:sz w:val="24"/>
        </w:rPr>
        <w:t>Vice President, Regulatory Affairs and Asst. General Counsel</w:t>
      </w:r>
    </w:p>
    <w:sectPr>
      <w:footerReference w:type="default" r:id="rId2"/>
      <w:footerReference w:type="first" r:id="rId3"/>
      <w:footnotePr>
        <w:numFmt w:val="decimal"/>
      </w:footnotePr>
      <w:type w:val="nextPage"/>
      <w:pgSz w:w="12240" w:h="15840"/>
      <w:pgMar w:left="1440" w:right="1440" w:gutter="0" w:header="0" w:top="1440" w:footer="720" w:bottom="153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Rhg98-9.doc</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Tennessee Gas Pipeline Company</w:t>
      </w:r>
      <w:r>
        <w:rPr/>
        <w:t>, 85 FERC ¶ 61,052 (1998), reh'g 86 FERC ¶ 61,290 (1999).</w:t>
      </w:r>
    </w:p>
  </w:footnote>
  <w:footnote w:id="3">
    <w:p>
      <w:pPr>
        <w:pStyle w:val="FootnoteText"/>
        <w:rPr/>
      </w:pPr>
      <w:r>
        <w:rPr>
          <w:rStyle w:val="FootnoteCharacters"/>
        </w:rPr>
        <w:footnoteRef/>
      </w:r>
      <w:r>
        <w:rPr/>
        <w:t xml:space="preserve"> </w:t>
      </w:r>
      <w:r>
        <w:rPr/>
        <w:t>The Final Rule indicates that the Commission does not intend to alter these capacity release posting rules.</w:t>
      </w:r>
    </w:p>
  </w:footnote>
  <w:footnote w:id="4">
    <w:p>
      <w:pPr>
        <w:pStyle w:val="FootnoteText"/>
        <w:rPr/>
      </w:pPr>
      <w:r>
        <w:rPr>
          <w:rStyle w:val="FootnoteCharacters"/>
        </w:rPr>
        <w:footnoteRef/>
      </w:r>
      <w:r>
        <w:rPr/>
        <w:t xml:space="preserve"> </w:t>
      </w:r>
      <w:r>
        <w:rPr/>
        <w:t xml:space="preserve">American Electric Power Service Corporation, 81 FERC ¶ 61,332 (1997), 82 FERC ¶ 61,131, order on reh’g, 83 FERC ¶ 61,357 (1998).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i w:val="false"/>
        <w:b/>
      </w:rPr>
    </w:lvl>
  </w:abstractNum>
  <w:abstractNum w:abstractNumId="3">
    <w:lvl w:ilvl="0">
      <w:start w:val="2"/>
      <w:numFmt w:val="upp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sz w:val="24"/>
    </w:rPr>
  </w:style>
  <w:style w:type="paragraph" w:styleId="Heading2">
    <w:name w:val="heading 2"/>
    <w:basedOn w:val="Normal"/>
    <w:next w:val="Normal"/>
    <w:qFormat/>
    <w:pPr>
      <w:keepNext w:val="true"/>
      <w:tabs>
        <w:tab w:val="clear" w:pos="720"/>
        <w:tab w:val="center" w:pos="4680" w:leader="none"/>
      </w:tabs>
      <w:suppressAutoHyphens w:val="true"/>
      <w:spacing w:lineRule="auto" w:line="480"/>
      <w:jc w:val="center"/>
      <w:outlineLvl w:val="1"/>
    </w:pPr>
    <w:rPr>
      <w:b/>
      <w:spacing w:val="-3"/>
      <w:sz w:val="25"/>
      <w:u w:val="single"/>
    </w:rPr>
  </w:style>
  <w:style w:type="paragraph" w:styleId="Heading3">
    <w:name w:val="heading 3"/>
    <w:basedOn w:val="Normal"/>
    <w:next w:val="Normal"/>
    <w:qFormat/>
    <w:pPr>
      <w:keepNext w:val="true"/>
      <w:ind w:hanging="0" w:start="720" w:end="0"/>
      <w:outlineLvl w:val="2"/>
    </w:pPr>
    <w:rPr>
      <w:sz w:val="24"/>
    </w:rPr>
  </w:style>
  <w:style w:type="paragraph" w:styleId="Heading4">
    <w:name w:val="heading 4"/>
    <w:basedOn w:val="Normal"/>
    <w:next w:val="Normal"/>
    <w:qFormat/>
    <w:pPr>
      <w:keepNext w:val="true"/>
      <w:ind w:hanging="0" w:start="360" w:end="0"/>
      <w:outlineLvl w:val="3"/>
    </w:pPr>
    <w:rPr>
      <w:b/>
      <w:sz w:val="24"/>
    </w:rPr>
  </w:style>
  <w:style w:type="paragraph" w:styleId="Heading5">
    <w:name w:val="heading 5"/>
    <w:basedOn w:val="Normal"/>
    <w:next w:val="Normal"/>
    <w:qFormat/>
    <w:pPr>
      <w:keepNext w:val="true"/>
      <w:tabs>
        <w:tab w:val="clear" w:pos="720"/>
        <w:tab w:val="left" w:pos="5400" w:leader="none"/>
      </w:tabs>
      <w:outlineLvl w:val="4"/>
    </w:pPr>
    <w:rPr>
      <w:sz w:val="24"/>
    </w:rPr>
  </w:style>
  <w:style w:type="paragraph" w:styleId="Heading6">
    <w:name w:val="heading 6"/>
    <w:basedOn w:val="Normal"/>
    <w:next w:val="Normal"/>
    <w:qFormat/>
    <w:pPr>
      <w:keepNext w:val="true"/>
      <w:ind w:hanging="0" w:start="5400" w:end="0"/>
      <w:jc w:val="both"/>
      <w:outlineLvl w:val="5"/>
    </w:pPr>
    <w:rPr>
      <w:sz w:val="24"/>
    </w:rPr>
  </w:style>
  <w:style w:type="paragraph" w:styleId="Heading7">
    <w:name w:val="heading 7"/>
    <w:basedOn w:val="Normal"/>
    <w:next w:val="Normal"/>
    <w:qFormat/>
    <w:pPr>
      <w:keepNext w:val="true"/>
      <w:ind w:hanging="450" w:start="4320" w:end="0"/>
      <w:outlineLvl w:val="6"/>
    </w:pPr>
    <w:rPr>
      <w:sz w:val="24"/>
    </w:rPr>
  </w:style>
  <w:style w:type="paragraph" w:styleId="Heading8">
    <w:name w:val="heading 8"/>
    <w:basedOn w:val="Normal"/>
    <w:next w:val="Normal"/>
    <w:qFormat/>
    <w:pPr>
      <w:keepNext w:val="true"/>
      <w:ind w:hanging="0" w:start="3870" w:end="0"/>
      <w:outlineLvl w:val="7"/>
    </w:pPr>
    <w:rPr>
      <w:sz w:val="24"/>
    </w:rPr>
  </w:style>
  <w:style w:type="character" w:styleId="WW8Num1z0">
    <w:name w:val="WW8Num1z0"/>
    <w:qFormat/>
    <w:rPr>
      <w:b/>
      <w:i w:val="false"/>
    </w:rPr>
  </w:style>
  <w:style w:type="character" w:styleId="WW8Num2z0">
    <w:name w:val="WW8Num2z0"/>
    <w:qFormat/>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spacing w:lineRule="auto" w:line="480"/>
      <w:ind w:hanging="0" w:start="720" w:end="0"/>
    </w:pPr>
    <w:rPr>
      <w:sz w:val="24"/>
    </w:rPr>
  </w:style>
  <w:style w:type="paragraph" w:styleId="BodyTextIndent3">
    <w:name w:val="Body Text Indent 3"/>
    <w:basedOn w:val="Normal"/>
    <w:qFormat/>
    <w:pPr>
      <w:ind w:hanging="0" w:start="360" w:end="0"/>
    </w:pPr>
    <w:rPr>
      <w:b/>
      <w:sz w:val="24"/>
    </w:rPr>
  </w:style>
  <w:style w:type="paragraph" w:styleId="BodyText2">
    <w:name w:val="Body Text 2"/>
    <w:basedOn w:val="Normal"/>
    <w:qFormat/>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2000-03-01T11:27:00Z</dcterms:created>
  <dc:creator>Jan Butler</dc:creator>
  <dc:description/>
  <dc:language>en-CA</dc:language>
  <cp:lastModifiedBy>scorman</cp:lastModifiedBy>
  <cp:lastPrinted>2000-03-01T11:08:00Z</cp:lastPrinted>
  <dcterms:modified xsi:type="dcterms:W3CDTF">2000-03-01T14:46:00Z</dcterms:modified>
  <cp:revision>4</cp:revision>
  <dc:subject/>
  <dc:title>template for FERC Comments</dc:title>
</cp:coreProperties>
</file>