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998"/>
        <w:gridCol w:w="3600"/>
        <w:gridCol w:w="3960"/>
      </w:tblGrid>
      <w:tr>
        <w:trPr>
          <w:trHeight w:val="720" w:hRule="atLeast"/>
        </w:trPr>
        <w:tc>
          <w:tcPr>
            <w:tcW w:w="1998" w:type="dxa"/>
            <w:tcBorders/>
          </w:tcPr>
          <w:p>
            <w:pPr>
              <w:pStyle w:val="Header"/>
              <w:widowControl w:val="false"/>
              <w:tabs>
                <w:tab w:val="clear" w:pos="4320"/>
                <w:tab w:val="right" w:pos="8640" w:leader="none"/>
              </w:tabs>
              <w:rPr>
                <w:sz w:val="20"/>
              </w:rPr>
            </w:pPr>
            <w:r>
              <w:rPr>
                <w:sz w:val="20"/>
              </w:rPr>
              <w:drawing>
                <wp:inline distT="0" distB="0" distL="0" distR="0">
                  <wp:extent cx="819150" cy="819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19150" cy="819150"/>
                          </a:xfrm>
                          <a:prstGeom prst="rect">
                            <a:avLst/>
                          </a:prstGeom>
                          <a:noFill/>
                        </pic:spPr>
                      </pic:pic>
                    </a:graphicData>
                  </a:graphic>
                </wp:inline>
              </w:drawing>
            </w:r>
          </w:p>
        </w:tc>
        <w:tc>
          <w:tcPr>
            <w:tcW w:w="3600" w:type="dxa"/>
            <w:tcBorders/>
          </w:tcPr>
          <w:p>
            <w:pPr>
              <w:pStyle w:val="Normal"/>
              <w:widowControl w:val="false"/>
              <w:tabs>
                <w:tab w:val="clear" w:pos="720"/>
                <w:tab w:val="right" w:pos="8640" w:leader="none"/>
              </w:tabs>
              <w:snapToGrid w:val="false"/>
              <w:jc w:val="center"/>
              <w:rPr>
                <w:sz w:val="20"/>
              </w:rPr>
            </w:pPr>
            <w:r>
              <w:rPr>
                <w:sz w:val="20"/>
              </w:rPr>
            </w:r>
          </w:p>
        </w:tc>
        <w:tc>
          <w:tcPr>
            <w:tcW w:w="3960" w:type="dxa"/>
            <w:tcBorders/>
          </w:tcPr>
          <w:p>
            <w:pPr>
              <w:pStyle w:val="Normal"/>
              <w:widowControl w:val="false"/>
              <w:tabs>
                <w:tab w:val="clear" w:pos="720"/>
                <w:tab w:val="right" w:pos="8640" w:leader="none"/>
              </w:tabs>
              <w:snapToGrid w:val="false"/>
              <w:jc w:val="center"/>
              <w:rPr>
                <w:b/>
                <w:sz w:val="20"/>
              </w:rPr>
            </w:pPr>
            <w:r>
              <w:rPr>
                <w:b/>
                <w:sz w:val="20"/>
              </w:rPr>
            </w:r>
          </w:p>
          <w:p>
            <w:pPr>
              <w:pStyle w:val="Normal"/>
              <w:widowControl w:val="false"/>
              <w:tabs>
                <w:tab w:val="clear" w:pos="720"/>
                <w:tab w:val="right" w:pos="8640" w:leader="none"/>
              </w:tabs>
              <w:jc w:val="center"/>
              <w:rPr>
                <w:b/>
                <w:sz w:val="20"/>
              </w:rPr>
            </w:pPr>
            <w:r>
              <w:rPr>
                <w:b/>
                <w:sz w:val="20"/>
              </w:rPr>
            </w:r>
          </w:p>
          <w:p>
            <w:pPr>
              <w:pStyle w:val="Heading3"/>
              <w:ind w:hanging="0" w:start="0"/>
              <w:rPr>
                <w:sz w:val="20"/>
              </w:rPr>
            </w:pPr>
            <w:r>
              <w:rPr>
                <w:sz w:val="20"/>
              </w:rPr>
              <w:t>INTEROFFICE</w:t>
            </w:r>
          </w:p>
          <w:p>
            <w:pPr>
              <w:pStyle w:val="Normal"/>
              <w:widowControl w:val="false"/>
              <w:tabs>
                <w:tab w:val="clear" w:pos="720"/>
                <w:tab w:val="right" w:pos="8640" w:leader="none"/>
              </w:tabs>
              <w:jc w:val="center"/>
              <w:rPr>
                <w:b/>
                <w:sz w:val="20"/>
              </w:rPr>
            </w:pPr>
            <w:r>
              <w:rPr>
                <w:b/>
                <w:sz w:val="20"/>
              </w:rPr>
              <w:t>MEMORANDUM</w:t>
            </w:r>
          </w:p>
          <w:p>
            <w:pPr>
              <w:pStyle w:val="Normal"/>
              <w:widowControl w:val="false"/>
              <w:tabs>
                <w:tab w:val="clear" w:pos="720"/>
                <w:tab w:val="right" w:pos="8640" w:leader="none"/>
              </w:tabs>
              <w:jc w:val="center"/>
              <w:rPr>
                <w:b/>
                <w:sz w:val="20"/>
              </w:rPr>
            </w:pPr>
            <w:r>
              <w:rPr>
                <w:b/>
                <w:sz w:val="20"/>
              </w:rPr>
            </w:r>
          </w:p>
        </w:tc>
      </w:tr>
    </w:tbl>
    <w:p>
      <w:pPr>
        <w:pStyle w:val="Normal"/>
        <w:widowControl w:val="false"/>
        <w:tabs>
          <w:tab w:val="clear" w:pos="720"/>
          <w:tab w:val="right" w:pos="8640" w:leader="none"/>
        </w:tabs>
        <w:rPr>
          <w:sz w:val="20"/>
        </w:rPr>
      </w:pPr>
      <w:r>
        <w:rPr>
          <w:sz w:val="20"/>
        </w:rPr>
      </w:r>
    </w:p>
    <w:p>
      <w:pPr>
        <w:pStyle w:val="Normal"/>
        <w:widowControl w:val="false"/>
        <w:tabs>
          <w:tab w:val="clear" w:pos="720"/>
          <w:tab w:val="right" w:pos="9360" w:leader="none"/>
        </w:tabs>
        <w:jc w:val="end"/>
        <w:rPr/>
      </w:pPr>
      <w:r>
        <w:rPr>
          <w:sz w:val="20"/>
        </w:rPr>
        <w:tab/>
      </w:r>
      <w:r>
        <w:rPr>
          <w:b/>
          <w:sz w:val="20"/>
        </w:rPr>
        <w:t>PRIVILEGED AND CONFIDENTIAL</w:t>
      </w:r>
    </w:p>
    <w:p>
      <w:pPr>
        <w:pStyle w:val="Heading2"/>
        <w:ind w:hanging="0" w:start="0"/>
        <w:rPr>
          <w:sz w:val="20"/>
        </w:rPr>
      </w:pPr>
      <w:r>
        <w:rPr>
          <w:sz w:val="20"/>
        </w:rPr>
        <w:tab/>
        <w:t>ATTORNEY CLIENT COMMUNICATION</w:t>
      </w:r>
    </w:p>
    <w:p>
      <w:pPr>
        <w:pStyle w:val="Heading1"/>
        <w:keepNext w:val="false"/>
        <w:widowControl w:val="false"/>
        <w:tabs>
          <w:tab w:val="clear" w:pos="720"/>
          <w:tab w:val="right" w:pos="9360" w:leader="none"/>
        </w:tabs>
        <w:spacing w:before="0" w:after="60"/>
        <w:ind w:hanging="0" w:start="0"/>
        <w:jc w:val="end"/>
        <w:rPr>
          <w:rFonts w:ascii="Times New Roman" w:hAnsi="Times New Roman" w:cs="Times New Roman"/>
          <w:sz w:val="20"/>
        </w:rPr>
      </w:pPr>
      <w:r>
        <w:rPr>
          <w:rFonts w:cs="Times New Roman" w:ascii="Times New Roman" w:hAnsi="Times New Roman"/>
          <w:sz w:val="20"/>
        </w:rPr>
        <w:tab/>
        <w:t>ATTORNEY WORK PRODUCT</w:t>
      </w:r>
    </w:p>
    <w:p>
      <w:pPr>
        <w:pStyle w:val="Normal"/>
        <w:rPr>
          <w:rFonts w:ascii="Times New Roman" w:hAnsi="Times New Roman" w:cs="Times New Roman"/>
          <w:sz w:val="20"/>
        </w:rPr>
      </w:pPr>
      <w:r>
        <w:rPr>
          <w:rFonts w:cs="Times New Roman"/>
          <w:sz w:val="20"/>
        </w:rPr>
      </w:r>
    </w:p>
    <w:p>
      <w:pPr>
        <w:pStyle w:val="Normal"/>
        <w:ind w:start="720" w:end="0"/>
        <w:jc w:val="both"/>
        <w:rPr>
          <w:sz w:val="20"/>
        </w:rPr>
      </w:pPr>
      <w:r>
        <w:rPr>
          <w:sz w:val="20"/>
        </w:rPr>
      </w:r>
    </w:p>
    <w:tbl>
      <w:tblPr>
        <w:tblW w:w="9360" w:type="dxa"/>
        <w:jc w:val="start"/>
        <w:tblInd w:w="0" w:type="dxa"/>
        <w:tblLayout w:type="fixed"/>
        <w:tblCellMar>
          <w:top w:w="0" w:type="dxa"/>
          <w:start w:w="0" w:type="dxa"/>
          <w:bottom w:w="0" w:type="dxa"/>
          <w:end w:w="0" w:type="dxa"/>
        </w:tblCellMar>
      </w:tblPr>
      <w:tblGrid>
        <w:gridCol w:w="1440"/>
        <w:gridCol w:w="7920"/>
      </w:tblGrid>
      <w:tr>
        <w:trPr>
          <w:trHeight w:val="207" w:hRule="atLeast"/>
        </w:trPr>
        <w:tc>
          <w:tcPr>
            <w:tcW w:w="1440" w:type="dxa"/>
            <w:tcBorders/>
          </w:tcPr>
          <w:p>
            <w:pPr>
              <w:pStyle w:val="MemoHeading"/>
              <w:widowControl w:val="false"/>
              <w:spacing w:before="0" w:after="180"/>
              <w:ind w:start="360" w:end="0"/>
              <w:rPr>
                <w:rFonts w:ascii="Times New Roman" w:hAnsi="Times New Roman" w:cs="Times New Roman"/>
              </w:rPr>
            </w:pPr>
            <w:r>
              <w:rPr>
                <w:rFonts w:cs="Times New Roman" w:ascii="Times New Roman" w:hAnsi="Times New Roman"/>
              </w:rPr>
              <w:t>TO:</w:t>
            </w:r>
          </w:p>
        </w:tc>
        <w:tc>
          <w:tcPr>
            <w:tcW w:w="7920" w:type="dxa"/>
            <w:tcBorders/>
          </w:tcPr>
          <w:p>
            <w:pPr>
              <w:pStyle w:val="Normal"/>
              <w:widowControl w:val="false"/>
              <w:spacing w:before="0" w:after="180"/>
              <w:ind w:start="360" w:end="216"/>
              <w:rPr>
                <w:sz w:val="20"/>
              </w:rPr>
            </w:pPr>
            <w:r>
              <w:rPr>
                <w:sz w:val="20"/>
              </w:rPr>
              <w:t>Distribution</w:t>
            </w:r>
          </w:p>
        </w:tc>
      </w:tr>
      <w:tr>
        <w:trPr>
          <w:trHeight w:val="162" w:hRule="atLeast"/>
        </w:trPr>
        <w:tc>
          <w:tcPr>
            <w:tcW w:w="1440" w:type="dxa"/>
            <w:tcBorders/>
          </w:tcPr>
          <w:p>
            <w:pPr>
              <w:pStyle w:val="MemoHeading"/>
              <w:widowControl w:val="false"/>
              <w:spacing w:before="0" w:after="180"/>
              <w:ind w:start="360" w:end="0"/>
              <w:rPr>
                <w:rFonts w:ascii="Times New Roman" w:hAnsi="Times New Roman" w:cs="Times New Roman"/>
              </w:rPr>
            </w:pPr>
            <w:r>
              <w:rPr>
                <w:rFonts w:cs="Times New Roman" w:ascii="Times New Roman" w:hAnsi="Times New Roman"/>
              </w:rPr>
              <w:t>FROM:</w:t>
            </w:r>
          </w:p>
        </w:tc>
        <w:tc>
          <w:tcPr>
            <w:tcW w:w="7920" w:type="dxa"/>
            <w:tcBorders/>
          </w:tcPr>
          <w:p>
            <w:pPr>
              <w:pStyle w:val="Normal"/>
              <w:widowControl w:val="false"/>
              <w:spacing w:before="0" w:after="180"/>
              <w:ind w:start="360" w:end="216"/>
              <w:rPr>
                <w:sz w:val="20"/>
              </w:rPr>
            </w:pPr>
            <w:r>
              <w:rPr>
                <w:sz w:val="20"/>
              </w:rPr>
              <w:t>Travis McCullough</w:t>
            </w:r>
          </w:p>
        </w:tc>
      </w:tr>
      <w:tr>
        <w:trPr>
          <w:trHeight w:val="279" w:hRule="atLeast"/>
        </w:trPr>
        <w:tc>
          <w:tcPr>
            <w:tcW w:w="1440" w:type="dxa"/>
            <w:tcBorders/>
          </w:tcPr>
          <w:p>
            <w:pPr>
              <w:pStyle w:val="MemoHeading"/>
              <w:widowControl w:val="false"/>
              <w:spacing w:before="0" w:after="180"/>
              <w:ind w:start="360" w:end="0"/>
              <w:rPr>
                <w:rFonts w:ascii="Times New Roman" w:hAnsi="Times New Roman" w:cs="Times New Roman"/>
              </w:rPr>
            </w:pPr>
            <w:r>
              <w:rPr>
                <w:rFonts w:cs="Times New Roman" w:ascii="Times New Roman" w:hAnsi="Times New Roman"/>
              </w:rPr>
              <w:t>DATE:</w:t>
            </w:r>
          </w:p>
        </w:tc>
        <w:tc>
          <w:tcPr>
            <w:tcW w:w="7920" w:type="dxa"/>
            <w:tcBorders/>
          </w:tcPr>
          <w:p>
            <w:pPr>
              <w:pStyle w:val="Normal"/>
              <w:widowControl w:val="false"/>
              <w:spacing w:before="0" w:after="180"/>
              <w:ind w:start="360" w:end="216"/>
              <w:rPr>
                <w:sz w:val="20"/>
              </w:rPr>
            </w:pPr>
            <w:r>
              <w:rPr>
                <w:sz w:val="20"/>
              </w:rPr>
              <w:t>August 17, 2001</w:t>
            </w:r>
          </w:p>
        </w:tc>
      </w:tr>
      <w:tr>
        <w:trPr>
          <w:trHeight w:val="414" w:hRule="atLeast"/>
        </w:trPr>
        <w:tc>
          <w:tcPr>
            <w:tcW w:w="1440" w:type="dxa"/>
            <w:tcBorders/>
          </w:tcPr>
          <w:p>
            <w:pPr>
              <w:pStyle w:val="MemoHeading"/>
              <w:widowControl w:val="false"/>
              <w:spacing w:before="0" w:after="180"/>
              <w:ind w:start="360" w:end="0"/>
              <w:rPr>
                <w:rFonts w:ascii="Times New Roman" w:hAnsi="Times New Roman" w:cs="Times New Roman"/>
              </w:rPr>
            </w:pPr>
            <w:r>
              <w:rPr>
                <w:rFonts w:cs="Times New Roman" w:ascii="Times New Roman" w:hAnsi="Times New Roman"/>
              </w:rPr>
              <w:t>SUBJECT:</w:t>
            </w:r>
          </w:p>
        </w:tc>
        <w:tc>
          <w:tcPr>
            <w:tcW w:w="7920" w:type="dxa"/>
            <w:tcBorders/>
          </w:tcPr>
          <w:p>
            <w:pPr>
              <w:pStyle w:val="Normal"/>
              <w:widowControl w:val="false"/>
              <w:spacing w:before="0" w:after="120"/>
              <w:ind w:start="360" w:end="216"/>
              <w:rPr>
                <w:sz w:val="20"/>
              </w:rPr>
            </w:pPr>
            <w:r>
              <w:rPr>
                <w:sz w:val="20"/>
              </w:rPr>
              <w:t xml:space="preserve">Risk Memorandum – Rexam Beverage Can Company Restructuring </w:t>
            </w:r>
          </w:p>
          <w:p>
            <w:pPr>
              <w:pStyle w:val="Heading4"/>
              <w:ind w:start="360" w:end="216"/>
              <w:rPr/>
            </w:pPr>
            <w:r>
              <w:rPr>
                <w:sz w:val="20"/>
              </w:rPr>
              <w:t xml:space="preserve">LEGAL RISK RATING: 3.0 </w:t>
            </w:r>
            <w:r>
              <w:rPr>
                <w:b w:val="false"/>
                <w:bCs/>
                <w:sz w:val="20"/>
              </w:rPr>
              <w:t>(based on a scale of 1 to 5, with a rating of 5.0 indicating the highest degree of legal risk)</w:t>
            </w:r>
          </w:p>
          <w:p>
            <w:pPr>
              <w:pStyle w:val="Normal"/>
              <w:ind w:start="360" w:end="0"/>
              <w:rPr>
                <w:b/>
                <w:bCs/>
                <w:sz w:val="20"/>
              </w:rPr>
            </w:pPr>
            <w:r>
              <w:rPr>
                <w:b/>
                <w:bCs/>
                <w:sz w:val="20"/>
              </w:rPr>
            </w:r>
          </w:p>
        </w:tc>
      </w:tr>
    </w:tbl>
    <w:p>
      <w:pPr>
        <w:pStyle w:val="Normal"/>
        <w:ind w:start="360" w:end="0"/>
        <w:jc w:val="both"/>
        <w:rPr>
          <w:sz w:val="20"/>
        </w:rPr>
      </w:pPr>
      <w:r>
        <w:rPr>
          <w:sz w:val="20"/>
        </w:rPr>
        <w:t>EESI proposes to enter into a Second Amendment to a Commodity Management Agreement ("CMA") that was originally entered into between EESI and Rexam Beverage Can Company on August 31, 2000.  EESI and Rexam have been involved in numerous contract disputes with respect to the CMA since the inception of the CMA, and the Second Amendment documents the parties' proposed settlement of those disputes and a significant restructuring of the CMA, most significantly with respect to the pricing structure.  This memorandum discusses the significant legal risks associated with entering into the Second Amendment and effecting this restructuring compared to EESI's terminating the CMA and exercising its remedies thereunder.</w:t>
      </w:r>
    </w:p>
    <w:p>
      <w:pPr>
        <w:pStyle w:val="Normal"/>
        <w:ind w:start="360" w:end="0"/>
        <w:jc w:val="center"/>
        <w:rPr>
          <w:b/>
          <w:bCs/>
          <w:sz w:val="20"/>
        </w:rPr>
      </w:pPr>
      <w:r>
        <w:rPr>
          <w:b/>
          <w:bCs/>
          <w:sz w:val="20"/>
        </w:rPr>
      </w:r>
    </w:p>
    <w:p>
      <w:pPr>
        <w:pStyle w:val="Normal"/>
        <w:ind w:start="360" w:end="0"/>
        <w:jc w:val="both"/>
        <w:rPr>
          <w:b/>
          <w:bCs/>
          <w:sz w:val="20"/>
          <w:u w:val="single"/>
        </w:rPr>
      </w:pPr>
      <w:r>
        <w:rPr>
          <w:b/>
          <w:bCs/>
          <w:sz w:val="20"/>
          <w:u w:val="single"/>
        </w:rPr>
        <w:t>Summary</w:t>
      </w:r>
    </w:p>
    <w:p>
      <w:pPr>
        <w:pStyle w:val="Normal"/>
        <w:ind w:start="360" w:end="0"/>
        <w:jc w:val="both"/>
        <w:rPr>
          <w:b/>
          <w:bCs/>
          <w:sz w:val="20"/>
          <w:u w:val="single"/>
        </w:rPr>
      </w:pPr>
      <w:r>
        <w:rPr>
          <w:b/>
          <w:bCs/>
          <w:sz w:val="20"/>
          <w:u w:val="single"/>
        </w:rPr>
      </w:r>
    </w:p>
    <w:p>
      <w:pPr>
        <w:pStyle w:val="Normal"/>
        <w:ind w:start="360" w:end="0"/>
        <w:jc w:val="both"/>
        <w:rPr>
          <w:sz w:val="20"/>
        </w:rPr>
      </w:pPr>
      <w:r>
        <w:rPr>
          <w:sz w:val="20"/>
        </w:rPr>
        <w:t xml:space="preserve">EESI provides bill management and commodity management services to twenty-one Rexam facilities.  The following illustrates the amounts currently at issue: </w:t>
      </w:r>
    </w:p>
    <w:p>
      <w:pPr>
        <w:pStyle w:val="Normal"/>
        <w:ind w:start="360" w:end="0"/>
        <w:jc w:val="both"/>
        <w:rPr>
          <w:sz w:val="20"/>
        </w:rPr>
      </w:pPr>
      <w:r>
        <w:rPr>
          <w:sz w:val="20"/>
        </w:rPr>
      </w:r>
    </w:p>
    <w:tbl>
      <w:tblPr>
        <w:tblpPr w:vertAnchor="text" w:horzAnchor="margin" w:tblpXSpec="center" w:leftFromText="180" w:rightFromText="180" w:tblpY="107"/>
        <w:tblW w:w="6768" w:type="dxa"/>
        <w:jc w:val="start"/>
        <w:tblInd w:w="108" w:type="dxa"/>
        <w:tblLayout w:type="fixed"/>
        <w:tblCellMar>
          <w:top w:w="0" w:type="dxa"/>
          <w:start w:w="108" w:type="dxa"/>
          <w:bottom w:w="0" w:type="dxa"/>
          <w:end w:w="108" w:type="dxa"/>
        </w:tblCellMar>
      </w:tblPr>
      <w:tblGrid>
        <w:gridCol w:w="4068"/>
        <w:gridCol w:w="2700"/>
      </w:tblGrid>
      <w:tr>
        <w:trPr/>
        <w:tc>
          <w:tcPr>
            <w:tcW w:w="4068" w:type="dxa"/>
            <w:tcBorders>
              <w:top w:val="single" w:sz="4" w:space="0" w:color="000000"/>
              <w:start w:val="single" w:sz="4" w:space="0" w:color="000000"/>
              <w:bottom w:val="single" w:sz="4" w:space="0" w:color="000000"/>
              <w:end w:val="single" w:sz="4" w:space="0" w:color="000000"/>
            </w:tcBorders>
          </w:tcPr>
          <w:p>
            <w:pPr>
              <w:pStyle w:val="Normal"/>
              <w:ind w:start="360" w:end="0"/>
              <w:jc w:val="both"/>
              <w:rPr>
                <w:b/>
                <w:bCs/>
                <w:sz w:val="20"/>
              </w:rPr>
            </w:pPr>
            <w:r>
              <w:rPr>
                <w:b/>
                <w:bCs/>
                <w:sz w:val="20"/>
              </w:rPr>
              <w:t>Existing Positions</w:t>
            </w:r>
          </w:p>
        </w:tc>
        <w:tc>
          <w:tcPr>
            <w:tcW w:w="2700" w:type="dxa"/>
            <w:tcBorders>
              <w:top w:val="single" w:sz="4" w:space="0" w:color="000000"/>
              <w:start w:val="single" w:sz="4" w:space="0" w:color="000000"/>
              <w:bottom w:val="single" w:sz="4" w:space="0" w:color="000000"/>
              <w:end w:val="single" w:sz="4" w:space="0" w:color="000000"/>
            </w:tcBorders>
          </w:tcPr>
          <w:p>
            <w:pPr>
              <w:pStyle w:val="Normal"/>
              <w:ind w:start="360" w:end="0"/>
              <w:jc w:val="both"/>
              <w:rPr>
                <w:b/>
                <w:bCs/>
                <w:sz w:val="20"/>
              </w:rPr>
            </w:pPr>
            <w:r>
              <w:rPr>
                <w:b/>
                <w:bCs/>
                <w:sz w:val="20"/>
              </w:rPr>
              <w:t>Value (approx.)</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ind w:start="360" w:end="0"/>
              <w:rPr>
                <w:sz w:val="20"/>
              </w:rPr>
            </w:pPr>
            <w:r>
              <w:rPr>
                <w:sz w:val="20"/>
              </w:rPr>
              <w:t>Receivable attributable to CA billing disputes</w:t>
            </w:r>
          </w:p>
        </w:tc>
        <w:tc>
          <w:tcPr>
            <w:tcW w:w="2700" w:type="dxa"/>
            <w:tcBorders>
              <w:top w:val="single" w:sz="4" w:space="0" w:color="000000"/>
              <w:start w:val="single" w:sz="4" w:space="0" w:color="000000"/>
              <w:bottom w:val="single" w:sz="4" w:space="0" w:color="000000"/>
              <w:end w:val="single" w:sz="4" w:space="0" w:color="000000"/>
            </w:tcBorders>
          </w:tcPr>
          <w:p>
            <w:pPr>
              <w:pStyle w:val="Normal"/>
              <w:ind w:start="360" w:end="0"/>
              <w:jc w:val="both"/>
              <w:rPr>
                <w:sz w:val="20"/>
              </w:rPr>
            </w:pPr>
            <w:r>
              <w:rPr>
                <w:sz w:val="20"/>
              </w:rPr>
              <w:t>$8.7 million</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ind w:start="360" w:end="0"/>
              <w:rPr>
                <w:sz w:val="20"/>
              </w:rPr>
            </w:pPr>
            <w:r>
              <w:rPr>
                <w:sz w:val="20"/>
              </w:rPr>
              <w:t>Aggregate gains</w:t>
            </w:r>
          </w:p>
          <w:p>
            <w:pPr>
              <w:pStyle w:val="Normal"/>
              <w:ind w:start="360" w:end="0"/>
              <w:rPr>
                <w:sz w:val="20"/>
              </w:rPr>
            </w:pPr>
            <w:r>
              <w:rPr>
                <w:sz w:val="20"/>
              </w:rPr>
              <w:t>(EESI "in the money" positions)</w:t>
            </w:r>
          </w:p>
        </w:tc>
        <w:tc>
          <w:tcPr>
            <w:tcW w:w="2700" w:type="dxa"/>
            <w:tcBorders>
              <w:top w:val="single" w:sz="4" w:space="0" w:color="000000"/>
              <w:start w:val="single" w:sz="4" w:space="0" w:color="000000"/>
              <w:bottom w:val="single" w:sz="4" w:space="0" w:color="000000"/>
              <w:end w:val="single" w:sz="4" w:space="0" w:color="000000"/>
            </w:tcBorders>
          </w:tcPr>
          <w:p>
            <w:pPr>
              <w:pStyle w:val="Normal"/>
              <w:ind w:start="360" w:end="0"/>
              <w:jc w:val="both"/>
              <w:rPr>
                <w:sz w:val="20"/>
              </w:rPr>
            </w:pPr>
            <w:r>
              <w:rPr>
                <w:sz w:val="20"/>
              </w:rPr>
              <w:t>$7.0 million</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ind w:start="360" w:end="0"/>
              <w:rPr>
                <w:sz w:val="20"/>
              </w:rPr>
            </w:pPr>
            <w:r>
              <w:rPr>
                <w:sz w:val="20"/>
              </w:rPr>
              <w:t>Aggregate losses</w:t>
            </w:r>
          </w:p>
          <w:p>
            <w:pPr>
              <w:pStyle w:val="Normal"/>
              <w:ind w:start="360" w:end="0"/>
              <w:rPr>
                <w:sz w:val="20"/>
              </w:rPr>
            </w:pPr>
            <w:r>
              <w:rPr>
                <w:sz w:val="20"/>
              </w:rPr>
              <w:t>(EESI ("out of the money" positions)</w:t>
            </w:r>
          </w:p>
        </w:tc>
        <w:tc>
          <w:tcPr>
            <w:tcW w:w="2700" w:type="dxa"/>
            <w:tcBorders>
              <w:top w:val="single" w:sz="4" w:space="0" w:color="000000"/>
              <w:start w:val="single" w:sz="4" w:space="0" w:color="000000"/>
              <w:bottom w:val="single" w:sz="4" w:space="0" w:color="000000"/>
              <w:end w:val="single" w:sz="4" w:space="0" w:color="000000"/>
            </w:tcBorders>
          </w:tcPr>
          <w:p>
            <w:pPr>
              <w:pStyle w:val="Normal"/>
              <w:ind w:start="360" w:end="0"/>
              <w:jc w:val="both"/>
              <w:rPr>
                <w:sz w:val="20"/>
              </w:rPr>
            </w:pPr>
            <w:r>
              <w:rPr>
                <w:sz w:val="20"/>
              </w:rPr>
              <w:t>($9.4 million)</w:t>
            </w:r>
          </w:p>
        </w:tc>
      </w:tr>
    </w:tbl>
    <w:p>
      <w:pPr>
        <w:pStyle w:val="Normal"/>
        <w:ind w:start="360" w:end="0"/>
        <w:rPr>
          <w:sz w:val="20"/>
        </w:rPr>
      </w:pPr>
      <w:r>
        <w:rPr>
          <w:sz w:val="20"/>
        </w:rPr>
      </w:r>
    </w:p>
    <w:p>
      <w:pPr>
        <w:pStyle w:val="Normal"/>
        <w:ind w:start="360" w:end="0"/>
        <w:rPr>
          <w:sz w:val="20"/>
        </w:rPr>
      </w:pPr>
      <w:r>
        <w:rPr>
          <w:sz w:val="20"/>
        </w:rPr>
      </w:r>
    </w:p>
    <w:p>
      <w:pPr>
        <w:pStyle w:val="Normal"/>
        <w:ind w:start="360" w:end="0"/>
        <w:rPr>
          <w:sz w:val="20"/>
        </w:rPr>
      </w:pPr>
      <w:r>
        <w:rPr>
          <w:sz w:val="20"/>
        </w:rPr>
      </w:r>
    </w:p>
    <w:p>
      <w:pPr>
        <w:pStyle w:val="Normal"/>
        <w:ind w:start="360" w:end="0"/>
        <w:jc w:val="both"/>
        <w:rPr>
          <w:sz w:val="20"/>
        </w:rPr>
      </w:pPr>
      <w:r>
        <w:rPr>
          <w:sz w:val="20"/>
        </w:rPr>
      </w:r>
    </w:p>
    <w:p>
      <w:pPr>
        <w:pStyle w:val="Normal"/>
        <w:ind w:start="360" w:end="0"/>
        <w:jc w:val="both"/>
        <w:rPr>
          <w:sz w:val="20"/>
        </w:rPr>
      </w:pPr>
      <w:r>
        <w:rPr>
          <w:sz w:val="20"/>
        </w:rPr>
      </w:r>
    </w:p>
    <w:p>
      <w:pPr>
        <w:pStyle w:val="Normal"/>
        <w:ind w:start="360" w:end="0"/>
        <w:jc w:val="both"/>
        <w:rPr>
          <w:sz w:val="20"/>
        </w:rPr>
      </w:pPr>
      <w:r>
        <w:rPr>
          <w:sz w:val="20"/>
        </w:rPr>
      </w:r>
    </w:p>
    <w:p>
      <w:pPr>
        <w:pStyle w:val="Normal"/>
        <w:ind w:start="360" w:end="0"/>
        <w:jc w:val="both"/>
        <w:rPr>
          <w:sz w:val="20"/>
        </w:rPr>
      </w:pPr>
      <w:r>
        <w:rPr>
          <w:sz w:val="20"/>
        </w:rPr>
      </w:r>
    </w:p>
    <w:p>
      <w:pPr>
        <w:pStyle w:val="Normal"/>
        <w:ind w:start="360" w:end="0"/>
        <w:jc w:val="both"/>
        <w:rPr>
          <w:sz w:val="20"/>
        </w:rPr>
      </w:pPr>
      <w:r>
        <w:rPr>
          <w:sz w:val="20"/>
        </w:rPr>
      </w:r>
    </w:p>
    <w:p>
      <w:pPr>
        <w:pStyle w:val="Normal"/>
        <w:ind w:start="360" w:end="0"/>
        <w:jc w:val="both"/>
        <w:rPr>
          <w:sz w:val="20"/>
        </w:rPr>
      </w:pPr>
      <w:r>
        <w:rPr>
          <w:sz w:val="20"/>
        </w:rPr>
      </w:r>
    </w:p>
    <w:p>
      <w:pPr>
        <w:pStyle w:val="Normal"/>
        <w:ind w:start="360" w:end="0"/>
        <w:jc w:val="both"/>
        <w:rPr>
          <w:sz w:val="20"/>
        </w:rPr>
      </w:pPr>
      <w:r>
        <w:rPr>
          <w:sz w:val="20"/>
        </w:rPr>
        <w:t>The pricing disputes regarding the California facilities center primarily around the lack of a reliable index for the calculation of the California pricing.  The index-based price in the CMA utilizes an index that is no longer available, and there is no provision in the agreement for an alternate index.  As a result, Rexam has paid EESI invoices based upon the utility tariff instead of the index-based rate that EESI used for calculating invoices, with the difference resulting in the accrual of the large receivable.  While the pricing issues are the primary dispute, there are several additional disputes between the parties regarding the accuracy of invoices as well as complaints regarding the level of Enron service under the agreement.</w:t>
      </w:r>
    </w:p>
    <w:p>
      <w:pPr>
        <w:pStyle w:val="Normal"/>
        <w:ind w:start="360" w:end="0"/>
        <w:jc w:val="both"/>
        <w:rPr>
          <w:sz w:val="20"/>
        </w:rPr>
      </w:pPr>
      <w:r>
        <w:rPr>
          <w:sz w:val="20"/>
        </w:rPr>
      </w:r>
    </w:p>
    <w:p>
      <w:pPr>
        <w:pStyle w:val="Normal"/>
        <w:ind w:start="360" w:end="0"/>
        <w:jc w:val="both"/>
        <w:rPr>
          <w:sz w:val="20"/>
        </w:rPr>
      </w:pPr>
      <w:r>
        <w:rPr>
          <w:sz w:val="20"/>
        </w:rPr>
        <w:t>The CMA provides for one-way payments upon termination without netting of gains and losses, meaning that Rexam is obligated to pay EESI for EESI's "in the money" positions (gains), but EESI has no obligation to pay Rexam, or net against EESI's gains, any of EESI's "out of the money" positions (losses).  Accordingly, the CMA provides that EESI can take its aggregate losses to zero and requires that Rexam pay to EESI the amount of EESI's gains.</w:t>
      </w:r>
    </w:p>
    <w:p>
      <w:pPr>
        <w:pStyle w:val="Normal"/>
        <w:ind w:start="360" w:end="0"/>
        <w:jc w:val="both"/>
        <w:rPr>
          <w:sz w:val="20"/>
        </w:rPr>
      </w:pPr>
      <w:r>
        <w:rPr>
          <w:sz w:val="20"/>
        </w:rPr>
      </w:r>
    </w:p>
    <w:p>
      <w:pPr>
        <w:pStyle w:val="Normal"/>
        <w:numPr>
          <w:ilvl w:val="0"/>
          <w:numId w:val="2"/>
        </w:numPr>
        <w:jc w:val="both"/>
        <w:rPr>
          <w:sz w:val="20"/>
        </w:rPr>
      </w:pPr>
      <w:r>
        <w:rPr>
          <w:b/>
          <w:bCs/>
          <w:sz w:val="20"/>
        </w:rPr>
        <w:t xml:space="preserve">Risk of foregoing an opportunity to terminate unfavorable contract.  </w:t>
      </w:r>
      <w:r>
        <w:rPr>
          <w:sz w:val="20"/>
        </w:rPr>
        <w:t xml:space="preserve">The existing CMA contains contractual provisions that are favorable to EESI, given EESI's current mark to market position under the CMA and assuming that Rexam is a defaulting party under the CMA.  The language of the CMA clearly provides for pricing on the California facilities at an index-based rate, as opposed to the tariff-based rate that Rexam has been paying.  More importantly, the default and liquidated damages provisions clearly provide for one-way payments with no netting of the non-defaulting party's gains or losses.  Based solely on the language of the CMA, EESI would most likely prevail in any action to collect the outstanding receivable and collect its gains without being required to net or pay its losses.  However, there are risks associated with EESI's termination of the CMA and exercising remedies (discussed below) that should be considered.  </w:t>
      </w:r>
    </w:p>
    <w:p>
      <w:pPr>
        <w:pStyle w:val="Normal"/>
        <w:ind w:start="360" w:end="0"/>
        <w:jc w:val="both"/>
        <w:rPr>
          <w:b/>
          <w:bCs/>
          <w:sz w:val="20"/>
        </w:rPr>
      </w:pPr>
      <w:r>
        <w:rPr>
          <w:b/>
          <w:bCs/>
          <w:sz w:val="20"/>
        </w:rPr>
      </w:r>
    </w:p>
    <w:p>
      <w:pPr>
        <w:pStyle w:val="Normal"/>
        <w:numPr>
          <w:ilvl w:val="0"/>
          <w:numId w:val="2"/>
        </w:numPr>
        <w:jc w:val="both"/>
        <w:rPr>
          <w:sz w:val="20"/>
        </w:rPr>
      </w:pPr>
      <w:r>
        <w:rPr>
          <w:b/>
          <w:bCs/>
          <w:sz w:val="20"/>
        </w:rPr>
        <w:t xml:space="preserve">Risk of potential counterclaims by Rexam.  </w:t>
      </w:r>
      <w:r>
        <w:rPr>
          <w:sz w:val="20"/>
        </w:rPr>
        <w:t xml:space="preserve">A claim or counterclaim by Rexam against EESI is possible, including a claim against EESI for breach of contract or some other commercial tort by EESI in connection with the original transaction and EESI's performance of the CMA.  Rexam and EESI have had several disputes under the agreement, including disputes regarding invoicing, for several months, and it is conceivable that Rexam could construct a cause of action against EESI.   Even if such claims had no merit, they could complicate EESI's efforts to collect the receivable and termination payment. </w:t>
      </w:r>
    </w:p>
    <w:p>
      <w:pPr>
        <w:pStyle w:val="Normal"/>
        <w:ind w:start="360" w:end="0"/>
        <w:jc w:val="both"/>
        <w:rPr>
          <w:sz w:val="20"/>
        </w:rPr>
      </w:pPr>
      <w:r>
        <w:rPr>
          <w:sz w:val="20"/>
        </w:rPr>
      </w:r>
    </w:p>
    <w:p>
      <w:pPr>
        <w:pStyle w:val="Normal"/>
        <w:numPr>
          <w:ilvl w:val="0"/>
          <w:numId w:val="2"/>
        </w:numPr>
        <w:jc w:val="both"/>
        <w:rPr>
          <w:sz w:val="20"/>
        </w:rPr>
      </w:pPr>
      <w:r>
        <w:rPr>
          <w:b/>
          <w:bCs/>
          <w:sz w:val="20"/>
        </w:rPr>
        <w:t xml:space="preserve">Risk of difficulty in calculating liquidated damages.  </w:t>
      </w:r>
      <w:r>
        <w:rPr>
          <w:sz w:val="20"/>
        </w:rPr>
        <w:t>The provisions in the contract that are used to determine the amount that EESI would ultimately receive in respect of its gains are not entirely favorable to EESI (for instance, EESI would be required to obtain "bona fide firm offers" from third parties for replacement contracts, and may not utilize its own curves or those of its affiliates in calculating damages).  In the event that EESI is unable to obtain the information required by the agreement in calculating its liquidated damages, the amount of the gains that EESI could ultimately recover would be decided in the dispute resolution process.</w:t>
      </w:r>
    </w:p>
    <w:p>
      <w:pPr>
        <w:pStyle w:val="Normal"/>
        <w:ind w:start="360" w:end="0"/>
        <w:jc w:val="both"/>
        <w:rPr>
          <w:sz w:val="20"/>
        </w:rPr>
      </w:pPr>
      <w:r>
        <w:rPr>
          <w:sz w:val="20"/>
        </w:rPr>
      </w:r>
    </w:p>
    <w:p>
      <w:pPr>
        <w:pStyle w:val="Normal"/>
        <w:numPr>
          <w:ilvl w:val="0"/>
          <w:numId w:val="2"/>
        </w:numPr>
        <w:jc w:val="both"/>
        <w:rPr>
          <w:sz w:val="20"/>
        </w:rPr>
      </w:pPr>
      <w:r>
        <w:rPr>
          <w:b/>
          <w:bCs/>
          <w:sz w:val="20"/>
        </w:rPr>
        <w:t xml:space="preserve">Risk of costs and expenses associated with dispute resolution.   </w:t>
      </w:r>
      <w:r>
        <w:rPr>
          <w:sz w:val="20"/>
        </w:rPr>
        <w:t xml:space="preserve">The different disputes between EESI and Rexam under the CMA are complicated.  The CMA does not provide for arbitration, and litigation of the disputes is likely to be time-consuming and  result in substantial legal fees. </w:t>
      </w:r>
    </w:p>
    <w:p>
      <w:pPr>
        <w:pStyle w:val="Normal"/>
        <w:ind w:start="360" w:end="0"/>
        <w:jc w:val="both"/>
        <w:rPr>
          <w:sz w:val="20"/>
        </w:rPr>
      </w:pPr>
      <w:r>
        <w:rPr>
          <w:sz w:val="20"/>
        </w:rPr>
      </w:r>
    </w:p>
    <w:p>
      <w:pPr>
        <w:pStyle w:val="Normal"/>
        <w:ind w:start="360" w:end="0"/>
        <w:jc w:val="both"/>
        <w:rPr>
          <w:sz w:val="20"/>
        </w:rPr>
      </w:pPr>
      <w:r>
        <w:rPr>
          <w:sz w:val="20"/>
        </w:rPr>
        <w:t xml:space="preserve">In summary, while EESI is in a generally favorable legal position should it decide to terminate the CMA and exercise its remedies, that course of action is not without risk, and EESI most likely will not recover 100% of its position.  While the Amendment to the CMA resolves the existing commercial disputes, and the parties have attempted to identify and address potential future disputes, entering into the Amendment does not foreclose the possibility of future disputes.  On balance, however, the execution of the amendment probably reduces EESI's overall legal risk with respect to this matter in that it removes the uncertainty associated with the potential results of the dispute resolution process.   </w:t>
      </w:r>
    </w:p>
    <w:p>
      <w:pPr>
        <w:pStyle w:val="Normal"/>
        <w:ind w:start="360" w:end="0"/>
        <w:rPr>
          <w:sz w:val="20"/>
        </w:rPr>
      </w:pPr>
      <w:r>
        <w:rPr>
          <w:sz w:val="20"/>
        </w:rPr>
      </w:r>
    </w:p>
    <w:p>
      <w:pPr>
        <w:pStyle w:val="Normal"/>
        <w:ind w:start="360" w:end="0"/>
        <w:rPr>
          <w:sz w:val="20"/>
        </w:rPr>
      </w:pPr>
      <w:r>
        <w:rPr>
          <w:sz w:val="20"/>
        </w:rPr>
        <w:t>Distribution:</w:t>
      </w:r>
    </w:p>
    <w:p>
      <w:pPr>
        <w:pStyle w:val="Normal"/>
        <w:ind w:start="360" w:end="0"/>
        <w:rPr>
          <w:sz w:val="20"/>
        </w:rPr>
      </w:pPr>
      <w:r>
        <w:rPr>
          <w:sz w:val="20"/>
        </w:rPr>
      </w:r>
    </w:p>
    <w:p>
      <w:pPr>
        <w:pStyle w:val="Normal"/>
        <w:ind w:start="360" w:end="0"/>
        <w:rPr>
          <w:sz w:val="20"/>
        </w:rPr>
      </w:pPr>
      <w:r>
        <w:rPr>
          <w:sz w:val="20"/>
        </w:rPr>
        <w:t>Greg Whalley</w:t>
        <w:tab/>
        <w:t>John Lavorato</w:t>
      </w:r>
    </w:p>
    <w:p>
      <w:pPr>
        <w:pStyle w:val="Normal"/>
        <w:ind w:start="360" w:end="0"/>
        <w:rPr>
          <w:sz w:val="20"/>
        </w:rPr>
      </w:pPr>
      <w:r>
        <w:rPr>
          <w:sz w:val="20"/>
        </w:rPr>
        <w:t>Mark Haedicke</w:t>
        <w:tab/>
        <w:t>Vicki Sharp</w:t>
      </w:r>
    </w:p>
    <w:p>
      <w:pPr>
        <w:pStyle w:val="Normal"/>
        <w:ind w:start="360" w:end="0"/>
        <w:rPr>
          <w:sz w:val="20"/>
        </w:rPr>
      </w:pPr>
      <w:r>
        <w:rPr>
          <w:sz w:val="20"/>
        </w:rPr>
        <w:t>Jim Keller</w:t>
        <w:tab/>
        <w:tab/>
        <w:t>Dave Delainey</w:t>
      </w:r>
    </w:p>
    <w:p>
      <w:pPr>
        <w:pStyle w:val="Normal"/>
        <w:ind w:start="360" w:end="0"/>
        <w:rPr>
          <w:sz w:val="20"/>
        </w:rPr>
      </w:pPr>
      <w:r>
        <w:rPr>
          <w:sz w:val="20"/>
        </w:rPr>
        <w:t>Jeff Richter</w:t>
        <w:tab/>
        <w:tab/>
        <w:t>Jeremy Blachman</w:t>
      </w:r>
    </w:p>
    <w:p>
      <w:pPr>
        <w:pStyle w:val="Normal"/>
        <w:ind w:start="360" w:end="0"/>
        <w:rPr>
          <w:sz w:val="20"/>
        </w:rPr>
      </w:pPr>
      <w:r>
        <w:rPr>
          <w:sz w:val="20"/>
        </w:rPr>
        <w:t>Cheryl Lipshutz</w:t>
        <w:tab/>
        <w:t>Dave Gorte</w:t>
      </w:r>
    </w:p>
    <w:p>
      <w:pPr>
        <w:pStyle w:val="Normal"/>
        <w:ind w:start="360" w:end="0"/>
        <w:rPr>
          <w:sz w:val="20"/>
        </w:rPr>
      </w:pPr>
      <w:r>
        <w:rPr>
          <w:sz w:val="20"/>
        </w:rPr>
        <w:t>Rick Buy</w:t>
        <w:tab/>
        <w:tab/>
        <w:t>Sean Holmes</w:t>
      </w:r>
    </w:p>
    <w:p>
      <w:pPr>
        <w:pStyle w:val="Normal"/>
        <w:ind w:start="360" w:end="0"/>
        <w:rPr>
          <w:sz w:val="20"/>
        </w:rPr>
      </w:pPr>
      <w:r>
        <w:rPr>
          <w:sz w:val="20"/>
        </w:rPr>
        <w:t>Dan Leff</w:t>
        <w:tab/>
        <w:tab/>
        <w:t>Janet Dietrich</w:t>
      </w:r>
    </w:p>
    <w:p>
      <w:pPr>
        <w:pStyle w:val="Normal"/>
        <w:ind w:start="360" w:end="0"/>
        <w:rPr>
          <w:sz w:val="20"/>
        </w:rPr>
      </w:pPr>
      <w:r>
        <w:rPr>
          <w:sz w:val="20"/>
        </w:rPr>
        <w:t>Gayle Muench</w:t>
        <w:tab/>
        <w:t>Craig Childers</w:t>
      </w:r>
    </w:p>
    <w:p>
      <w:pPr>
        <w:pStyle w:val="Normal"/>
        <w:ind w:start="360" w:end="0"/>
        <w:rPr>
          <w:sz w:val="20"/>
        </w:rPr>
      </w:pPr>
      <w:r>
        <w:rPr>
          <w:sz w:val="20"/>
        </w:rPr>
        <w:t>Jeff Parker</w:t>
        <w:tab/>
        <w:tab/>
        <w:t>Rogers Herndon</w:t>
      </w:r>
    </w:p>
    <w:p>
      <w:pPr>
        <w:pStyle w:val="Normal"/>
        <w:ind w:start="360" w:end="0"/>
        <w:rPr>
          <w:sz w:val="20"/>
        </w:rPr>
      </w:pPr>
      <w:r>
        <w:rPr>
          <w:sz w:val="20"/>
        </w:rPr>
        <w:t>Tim Belden</w:t>
        <w:tab/>
        <w:tab/>
        <w:t>Denise Furey</w:t>
      </w:r>
    </w:p>
    <w:p>
      <w:pPr>
        <w:pStyle w:val="Normal"/>
        <w:ind w:start="360" w:end="0"/>
        <w:rPr>
          <w:sz w:val="20"/>
        </w:rPr>
      </w:pPr>
      <w:r>
        <w:rPr>
          <w:sz w:val="20"/>
        </w:rPr>
      </w:r>
      <w:r>
        <w:br w:type="page"/>
      </w:r>
    </w:p>
    <w:p>
      <w:pPr>
        <w:pStyle w:val="Normal"/>
        <w:jc w:val="center"/>
        <w:rPr>
          <w:b/>
          <w:bCs/>
        </w:rPr>
      </w:pPr>
      <w:r>
        <w:rPr>
          <w:b/>
          <w:bCs/>
        </w:rPr>
        <w:t>Privileged and Confidential</w:t>
      </w:r>
    </w:p>
    <w:p>
      <w:pPr>
        <w:pStyle w:val="Normal"/>
        <w:jc w:val="center"/>
        <w:rPr>
          <w:b/>
          <w:bCs/>
        </w:rPr>
      </w:pPr>
      <w:r>
        <w:rPr>
          <w:b/>
          <w:bCs/>
        </w:rPr>
        <w:t>Attorney Client Communication</w:t>
      </w:r>
    </w:p>
    <w:p>
      <w:pPr>
        <w:pStyle w:val="Normal"/>
        <w:jc w:val="center"/>
        <w:rPr>
          <w:b/>
          <w:bCs/>
        </w:rPr>
      </w:pPr>
      <w:r>
        <w:rPr>
          <w:b/>
          <w:bCs/>
        </w:rPr>
      </w:r>
    </w:p>
    <w:p>
      <w:pPr>
        <w:pStyle w:val="Normal"/>
        <w:jc w:val="center"/>
        <w:rPr>
          <w:b/>
          <w:bCs/>
        </w:rPr>
      </w:pPr>
      <w:r>
        <w:rPr>
          <w:b/>
          <w:bCs/>
        </w:rPr>
      </w:r>
    </w:p>
    <w:p>
      <w:pPr>
        <w:pStyle w:val="Normal"/>
        <w:rPr>
          <w:b/>
          <w:bCs/>
        </w:rPr>
      </w:pPr>
      <w:r>
        <w:rPr>
          <w:b/>
          <w:bCs/>
        </w:rPr>
      </w:r>
    </w:p>
    <w:tbl>
      <w:tblPr>
        <w:tblW w:w="9288" w:type="dxa"/>
        <w:jc w:val="start"/>
        <w:tblInd w:w="0" w:type="dxa"/>
        <w:tblLayout w:type="fixed"/>
        <w:tblCellMar>
          <w:top w:w="0" w:type="dxa"/>
          <w:start w:w="108" w:type="dxa"/>
          <w:bottom w:w="0" w:type="dxa"/>
          <w:end w:w="108" w:type="dxa"/>
        </w:tblCellMar>
      </w:tblPr>
      <w:tblGrid>
        <w:gridCol w:w="2366"/>
        <w:gridCol w:w="2278"/>
        <w:gridCol w:w="2106"/>
        <w:gridCol w:w="2538"/>
      </w:tblGrid>
      <w:tr>
        <w:trPr/>
        <w:tc>
          <w:tcPr>
            <w:tcW w:w="2366"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Existing Positions</w:t>
            </w:r>
          </w:p>
        </w:tc>
        <w:tc>
          <w:tcPr>
            <w:tcW w:w="227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Risk-Free Value</w:t>
            </w:r>
          </w:p>
          <w:p>
            <w:pPr>
              <w:pStyle w:val="Normal"/>
              <w:jc w:val="center"/>
              <w:rPr>
                <w:b/>
                <w:bCs/>
              </w:rPr>
            </w:pPr>
            <w:r>
              <w:rPr>
                <w:b/>
                <w:bCs/>
              </w:rPr>
              <w:t>(approx.)</w:t>
            </w:r>
          </w:p>
        </w:tc>
        <w:tc>
          <w:tcPr>
            <w:tcW w:w="2106"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Prob. of Receiving Value</w:t>
            </w:r>
          </w:p>
        </w:tc>
        <w:tc>
          <w:tcPr>
            <w:tcW w:w="253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Risk</w:t>
            </w:r>
          </w:p>
          <w:p>
            <w:pPr>
              <w:pStyle w:val="Normal"/>
              <w:jc w:val="center"/>
              <w:rPr>
                <w:b/>
                <w:bCs/>
              </w:rPr>
            </w:pPr>
            <w:r>
              <w:rPr>
                <w:b/>
                <w:bCs/>
              </w:rPr>
              <w:t>Adjusted Value</w:t>
            </w:r>
          </w:p>
        </w:tc>
      </w:tr>
      <w:tr>
        <w:trPr/>
        <w:tc>
          <w:tcPr>
            <w:tcW w:w="2366" w:type="dxa"/>
            <w:tcBorders>
              <w:top w:val="single" w:sz="4" w:space="0" w:color="000000"/>
              <w:start w:val="single" w:sz="4" w:space="0" w:color="000000"/>
              <w:bottom w:val="single" w:sz="4" w:space="0" w:color="000000"/>
              <w:end w:val="single" w:sz="4" w:space="0" w:color="000000"/>
            </w:tcBorders>
          </w:tcPr>
          <w:p>
            <w:pPr>
              <w:pStyle w:val="Normal"/>
              <w:rPr/>
            </w:pPr>
            <w:r>
              <w:rPr/>
              <w:t xml:space="preserve">Receivable attributable to CA billing disputes </w:t>
            </w:r>
          </w:p>
        </w:tc>
        <w:tc>
          <w:tcPr>
            <w:tcW w:w="2278" w:type="dxa"/>
            <w:tcBorders>
              <w:top w:val="single" w:sz="4" w:space="0" w:color="000000"/>
              <w:start w:val="single" w:sz="4" w:space="0" w:color="000000"/>
              <w:bottom w:val="single" w:sz="4" w:space="0" w:color="000000"/>
              <w:end w:val="single" w:sz="4" w:space="0" w:color="000000"/>
            </w:tcBorders>
          </w:tcPr>
          <w:p>
            <w:pPr>
              <w:pStyle w:val="Normal"/>
              <w:jc w:val="end"/>
              <w:rPr/>
            </w:pPr>
            <w:r>
              <w:rPr/>
              <w:t>$8.7 million</w:t>
            </w:r>
          </w:p>
        </w:tc>
        <w:tc>
          <w:tcPr>
            <w:tcW w:w="2106" w:type="dxa"/>
            <w:tcBorders>
              <w:top w:val="single" w:sz="4" w:space="0" w:color="000000"/>
              <w:start w:val="single" w:sz="4" w:space="0" w:color="000000"/>
              <w:bottom w:val="single" w:sz="4" w:space="0" w:color="000000"/>
              <w:end w:val="single" w:sz="4" w:space="0" w:color="000000"/>
            </w:tcBorders>
          </w:tcPr>
          <w:p>
            <w:pPr>
              <w:pStyle w:val="Normal"/>
              <w:jc w:val="end"/>
              <w:rPr/>
            </w:pPr>
            <w:r>
              <w:rPr/>
              <w:t>50-80%(*)</w:t>
            </w:r>
          </w:p>
        </w:tc>
        <w:tc>
          <w:tcPr>
            <w:tcW w:w="2538" w:type="dxa"/>
            <w:tcBorders>
              <w:top w:val="single" w:sz="4" w:space="0" w:color="000000"/>
              <w:start w:val="single" w:sz="4" w:space="0" w:color="000000"/>
              <w:bottom w:val="single" w:sz="4" w:space="0" w:color="000000"/>
              <w:end w:val="single" w:sz="4" w:space="0" w:color="000000"/>
            </w:tcBorders>
          </w:tcPr>
          <w:p>
            <w:pPr>
              <w:pStyle w:val="Normal"/>
              <w:jc w:val="end"/>
              <w:rPr/>
            </w:pPr>
            <w:r>
              <w:rPr/>
              <w:t>$4.35 – 6.96 million</w:t>
            </w:r>
          </w:p>
        </w:tc>
      </w:tr>
      <w:tr>
        <w:trPr/>
        <w:tc>
          <w:tcPr>
            <w:tcW w:w="2366" w:type="dxa"/>
            <w:tcBorders>
              <w:top w:val="single" w:sz="4" w:space="0" w:color="000000"/>
              <w:start w:val="single" w:sz="4" w:space="0" w:color="000000"/>
              <w:bottom w:val="single" w:sz="4" w:space="0" w:color="000000"/>
              <w:end w:val="single" w:sz="4" w:space="0" w:color="000000"/>
            </w:tcBorders>
          </w:tcPr>
          <w:p>
            <w:pPr>
              <w:pStyle w:val="Normal"/>
              <w:rPr/>
            </w:pPr>
            <w:r>
              <w:rPr/>
              <w:t>Aggregate gains</w:t>
            </w:r>
          </w:p>
        </w:tc>
        <w:tc>
          <w:tcPr>
            <w:tcW w:w="2278" w:type="dxa"/>
            <w:tcBorders>
              <w:top w:val="single" w:sz="4" w:space="0" w:color="000000"/>
              <w:start w:val="single" w:sz="4" w:space="0" w:color="000000"/>
              <w:bottom w:val="single" w:sz="4" w:space="0" w:color="000000"/>
              <w:end w:val="single" w:sz="4" w:space="0" w:color="000000"/>
            </w:tcBorders>
          </w:tcPr>
          <w:p>
            <w:pPr>
              <w:pStyle w:val="Normal"/>
              <w:jc w:val="end"/>
              <w:rPr/>
            </w:pPr>
            <w:r>
              <w:rPr/>
              <w:t>$7.0 million</w:t>
            </w:r>
          </w:p>
        </w:tc>
        <w:tc>
          <w:tcPr>
            <w:tcW w:w="2106" w:type="dxa"/>
            <w:tcBorders>
              <w:top w:val="single" w:sz="4" w:space="0" w:color="000000"/>
              <w:start w:val="single" w:sz="4" w:space="0" w:color="000000"/>
              <w:bottom w:val="single" w:sz="4" w:space="0" w:color="000000"/>
              <w:end w:val="single" w:sz="4" w:space="0" w:color="000000"/>
            </w:tcBorders>
          </w:tcPr>
          <w:p>
            <w:pPr>
              <w:pStyle w:val="Normal"/>
              <w:jc w:val="end"/>
              <w:rPr/>
            </w:pPr>
            <w:r>
              <w:rPr/>
              <w:t>50-80%(**)</w:t>
            </w:r>
          </w:p>
        </w:tc>
        <w:tc>
          <w:tcPr>
            <w:tcW w:w="2538" w:type="dxa"/>
            <w:tcBorders>
              <w:top w:val="single" w:sz="4" w:space="0" w:color="000000"/>
              <w:start w:val="single" w:sz="4" w:space="0" w:color="000000"/>
              <w:bottom w:val="single" w:sz="4" w:space="0" w:color="000000"/>
              <w:end w:val="single" w:sz="4" w:space="0" w:color="000000"/>
            </w:tcBorders>
          </w:tcPr>
          <w:p>
            <w:pPr>
              <w:pStyle w:val="Normal"/>
              <w:jc w:val="end"/>
              <w:rPr/>
            </w:pPr>
            <w:r>
              <w:rPr/>
              <w:t>$3.5 – 5.6 million</w:t>
            </w:r>
          </w:p>
        </w:tc>
      </w:tr>
      <w:tr>
        <w:trPr/>
        <w:tc>
          <w:tcPr>
            <w:tcW w:w="2366" w:type="dxa"/>
            <w:tcBorders>
              <w:top w:val="single" w:sz="4" w:space="0" w:color="000000"/>
              <w:start w:val="single" w:sz="4" w:space="0" w:color="000000"/>
              <w:bottom w:val="single" w:sz="4" w:space="0" w:color="000000"/>
              <w:end w:val="single" w:sz="4" w:space="0" w:color="000000"/>
            </w:tcBorders>
          </w:tcPr>
          <w:p>
            <w:pPr>
              <w:pStyle w:val="Normal"/>
              <w:rPr/>
            </w:pPr>
            <w:r>
              <w:rPr/>
              <w:t>Aggregate losses</w:t>
            </w:r>
          </w:p>
        </w:tc>
        <w:tc>
          <w:tcPr>
            <w:tcW w:w="2278" w:type="dxa"/>
            <w:tcBorders>
              <w:top w:val="single" w:sz="4" w:space="0" w:color="000000"/>
              <w:start w:val="single" w:sz="4" w:space="0" w:color="000000"/>
              <w:bottom w:val="single" w:sz="4" w:space="0" w:color="000000"/>
              <w:end w:val="single" w:sz="4" w:space="0" w:color="000000"/>
            </w:tcBorders>
          </w:tcPr>
          <w:p>
            <w:pPr>
              <w:pStyle w:val="Normal"/>
              <w:jc w:val="end"/>
              <w:rPr/>
            </w:pPr>
            <w:r>
              <w:rPr/>
              <w:t>($9.4 million)</w:t>
            </w:r>
          </w:p>
        </w:tc>
        <w:tc>
          <w:tcPr>
            <w:tcW w:w="2106" w:type="dxa"/>
            <w:tcBorders>
              <w:top w:val="single" w:sz="4" w:space="0" w:color="000000"/>
              <w:start w:val="single" w:sz="4" w:space="0" w:color="000000"/>
              <w:bottom w:val="single" w:sz="4" w:space="0" w:color="000000"/>
              <w:end w:val="single" w:sz="4" w:space="0" w:color="000000"/>
            </w:tcBorders>
          </w:tcPr>
          <w:p>
            <w:pPr>
              <w:pStyle w:val="Normal"/>
              <w:jc w:val="end"/>
              <w:rPr/>
            </w:pPr>
            <w:r>
              <w:rPr/>
              <w:t>85%(***)</w:t>
            </w:r>
          </w:p>
        </w:tc>
        <w:tc>
          <w:tcPr>
            <w:tcW w:w="2538" w:type="dxa"/>
            <w:tcBorders>
              <w:top w:val="single" w:sz="4" w:space="0" w:color="000000"/>
              <w:start w:val="single" w:sz="4" w:space="0" w:color="000000"/>
              <w:bottom w:val="single" w:sz="4" w:space="0" w:color="000000"/>
              <w:end w:val="single" w:sz="4" w:space="0" w:color="000000"/>
            </w:tcBorders>
          </w:tcPr>
          <w:p>
            <w:pPr>
              <w:pStyle w:val="Normal"/>
              <w:jc w:val="end"/>
              <w:rPr/>
            </w:pPr>
            <w:r>
              <w:rPr/>
              <w:t>($7.99 million)</w:t>
            </w:r>
          </w:p>
        </w:tc>
      </w:tr>
    </w:tbl>
    <w:p>
      <w:pPr>
        <w:pStyle w:val="Normal"/>
        <w:rPr/>
      </w:pPr>
      <w:r>
        <w:rPr/>
      </w:r>
    </w:p>
    <w:p>
      <w:pPr>
        <w:pStyle w:val="Normal"/>
        <w:ind w:hanging="720" w:start="1080" w:end="0"/>
        <w:jc w:val="both"/>
        <w:rPr>
          <w:sz w:val="20"/>
        </w:rPr>
      </w:pPr>
      <w:r>
        <w:rPr>
          <w:sz w:val="20"/>
        </w:rPr>
        <w:t>(*)</w:t>
        <w:tab/>
        <w:t>The pricing disputes regarding the California facilities center primarily around the lack of a reliable index for the calculation of the California pricing.  The index-based pricing provisions of the CMA utilize an index that is no longer reliable or available, and there was no provision in the agreement for an alternate index.  As a result, Rexam has paid EESI invoices based upon the utility tariff instead of the index-based rate that EESI used for calculating invoices.</w:t>
      </w:r>
    </w:p>
    <w:p>
      <w:pPr>
        <w:pStyle w:val="Normal"/>
        <w:ind w:hanging="720" w:start="1080" w:end="0"/>
        <w:jc w:val="both"/>
        <w:rPr>
          <w:sz w:val="20"/>
        </w:rPr>
      </w:pPr>
      <w:r>
        <w:rPr>
          <w:sz w:val="20"/>
        </w:rPr>
      </w:r>
    </w:p>
    <w:p>
      <w:pPr>
        <w:pStyle w:val="Normal"/>
        <w:ind w:hanging="720" w:start="1080" w:end="0"/>
        <w:jc w:val="both"/>
        <w:rPr>
          <w:sz w:val="20"/>
        </w:rPr>
      </w:pPr>
      <w:r>
        <w:rPr>
          <w:sz w:val="20"/>
        </w:rPr>
        <w:tab/>
        <w:t>In addition to the dispute regarding the appropriate index, there have been several other disputes between Rexam and EESI regarding the CMA.  This percentage indicates the percentage of the full $8.7 million that EESI is likely to recover in litigation, and varies depending primarily upon Rexam's response to any litigation.  While the CMA language is generally favorable to EESI, a vigorous defense and possible counterclaims by Rexam could reduce any recovery by EESI.  See the attached Legal Risk Memo for more information.</w:t>
      </w:r>
    </w:p>
    <w:p>
      <w:pPr>
        <w:pStyle w:val="Normal"/>
        <w:ind w:start="360" w:end="0"/>
        <w:jc w:val="both"/>
        <w:rPr>
          <w:sz w:val="20"/>
        </w:rPr>
      </w:pPr>
      <w:r>
        <w:rPr>
          <w:sz w:val="20"/>
        </w:rPr>
      </w:r>
    </w:p>
    <w:p>
      <w:pPr>
        <w:pStyle w:val="Normal"/>
        <w:ind w:hanging="720" w:start="1080" w:end="0"/>
        <w:jc w:val="both"/>
        <w:rPr>
          <w:sz w:val="20"/>
        </w:rPr>
      </w:pPr>
      <w:r>
        <w:rPr>
          <w:sz w:val="20"/>
        </w:rPr>
        <w:t>(**)</w:t>
        <w:tab/>
        <w:t xml:space="preserve">The CMA provides for one-way payments upon termination without netting of gains and losses, meaning that Rexam is obligated to pay EESI for EESI's "in the money" positions (gains), but EESI has no obligation to pay Rexam, or net against EESI's gains, any of EESI's "out of the money" positions (losses).  Accordingly, EESI can take its aggregate losses to zero and require Rexam to pay EESI its gains.  Recovery of this amount depends on the factors described above, as well as EESI's ability to establish these gains in the market per the relevant provisions in the CMA.  See the attached Legal Risk Memorandum for more information. </w:t>
      </w:r>
    </w:p>
    <w:p>
      <w:pPr>
        <w:pStyle w:val="Normal"/>
        <w:ind w:hanging="720" w:start="1080" w:end="0"/>
        <w:jc w:val="both"/>
        <w:rPr>
          <w:sz w:val="20"/>
        </w:rPr>
      </w:pPr>
      <w:r>
        <w:rPr>
          <w:sz w:val="20"/>
        </w:rPr>
      </w:r>
    </w:p>
    <w:p>
      <w:pPr>
        <w:pStyle w:val="Normal"/>
        <w:ind w:hanging="720" w:start="1080" w:end="0"/>
        <w:jc w:val="both"/>
        <w:rPr>
          <w:sz w:val="20"/>
        </w:rPr>
      </w:pPr>
      <w:r>
        <w:rPr>
          <w:sz w:val="20"/>
        </w:rPr>
        <w:t>(***)</w:t>
        <w:tab/>
        <w:t xml:space="preserve">Represents the probability that EESI will not be required to pay to Rexam or otherwise give Rexam credit for EESI's losses (i.e., that the one-way, no-netting provisions of the CMA are enforced).   See the attached Legal Risk Memorandum for more information. </w:t>
      </w:r>
    </w:p>
    <w:p>
      <w:pPr>
        <w:pStyle w:val="Normal"/>
        <w:ind w:start="360" w:end="0"/>
        <w:jc w:val="both"/>
        <w:rPr>
          <w:sz w:val="20"/>
        </w:rPr>
      </w:pPr>
      <w:r>
        <w:rPr>
          <w:sz w:val="20"/>
        </w:rPr>
      </w:r>
    </w:p>
    <w:p>
      <w:pPr>
        <w:pStyle w:val="Normal"/>
        <w:ind w:start="360" w:end="0"/>
        <w:jc w:val="both"/>
        <w:rPr>
          <w:sz w:val="20"/>
        </w:rPr>
      </w:pPr>
      <w:r>
        <w:rPr>
          <w:sz w:val="20"/>
        </w:rPr>
        <w:t xml:space="preserve">These figures are estimates only, and determining probability of recovery in litigation is subject to numerous uncertainties, but most significantly depends upon the other party's response, which is impossible to predict.  Costs and expenses of dispute resolution, particularly legal fees, are difficult to estimate, and may further reduce the recovery.   In addition, these percentages have not been adjusted for the probability that the litigation is resolved through a negotiated settlement between the parties prior to judgment.  </w:t>
      </w:r>
    </w:p>
    <w:p>
      <w:pPr>
        <w:pStyle w:val="Normal"/>
        <w:ind w:start="360" w:end="0"/>
        <w:rPr>
          <w:sz w:val="20"/>
        </w:rPr>
      </w:pPr>
      <w:r>
        <w:rPr>
          <w:sz w:val="20"/>
        </w:rPr>
      </w:r>
    </w:p>
    <w:sectPr>
      <w:type w:val="nextPage"/>
      <w:pgSz w:w="12240" w:h="15840"/>
      <w:pgMar w:left="1440" w:right="1440" w:gutter="0" w:header="0" w:top="1440"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val="false"/>
      <w:numPr>
        <w:ilvl w:val="1"/>
        <w:numId w:val="1"/>
      </w:numPr>
      <w:tabs>
        <w:tab w:val="clear" w:pos="720"/>
        <w:tab w:val="right" w:pos="9360" w:leader="none"/>
      </w:tabs>
      <w:jc w:val="end"/>
      <w:outlineLvl w:val="1"/>
    </w:pPr>
    <w:rPr>
      <w:b/>
      <w:sz w:val="22"/>
    </w:rPr>
  </w:style>
  <w:style w:type="paragraph" w:styleId="Heading3">
    <w:name w:val="heading 3"/>
    <w:basedOn w:val="Normal"/>
    <w:next w:val="Normal"/>
    <w:qFormat/>
    <w:pPr>
      <w:keepNext w:val="true"/>
      <w:widowControl w:val="false"/>
      <w:numPr>
        <w:ilvl w:val="2"/>
        <w:numId w:val="1"/>
      </w:numPr>
      <w:tabs>
        <w:tab w:val="clear" w:pos="720"/>
        <w:tab w:val="right" w:pos="8640" w:leader="none"/>
      </w:tabs>
      <w:jc w:val="center"/>
      <w:outlineLvl w:val="2"/>
    </w:pPr>
    <w:rPr>
      <w:b/>
      <w:sz w:val="22"/>
    </w:rPr>
  </w:style>
  <w:style w:type="paragraph" w:styleId="Heading4">
    <w:name w:val="heading 4"/>
    <w:basedOn w:val="Normal"/>
    <w:next w:val="Normal"/>
    <w:qFormat/>
    <w:pPr>
      <w:keepNext w:val="true"/>
      <w:widowControl w:val="false"/>
      <w:numPr>
        <w:ilvl w:val="3"/>
        <w:numId w:val="1"/>
      </w:numPr>
      <w:spacing w:before="0" w:after="120"/>
      <w:ind w:hanging="0" w:start="0" w:end="216"/>
      <w:outlineLvl w:val="3"/>
    </w:pPr>
    <w:rPr>
      <w:b/>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MemoHeading">
    <w:name w:val="Memo Heading"/>
    <w:qFormat/>
    <w:pPr>
      <w:widowControl/>
      <w:bidi w:val="0"/>
      <w:spacing w:before="0" w:after="180"/>
    </w:pPr>
    <w:rPr>
      <w:rFonts w:ascii="Arial" w:hAnsi="Arial" w:eastAsia="Times New Roman" w:cs="Arial"/>
      <w:b/>
      <w:color w:val="auto"/>
      <w:sz w:val="20"/>
      <w:szCs w:val="20"/>
      <w:lang w:val="en-US" w:eastAsia="en-CA"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2001-08-17T00:38:00Z</dcterms:created>
  <dc:creator>Travis C. McCullough</dc:creator>
  <dc:description/>
  <dc:language>en-CA</dc:language>
  <cp:lastModifiedBy>Travis McCullough</cp:lastModifiedBy>
  <cp:lastPrinted>2001-08-17T08:01:00Z</cp:lastPrinted>
  <dcterms:modified xsi:type="dcterms:W3CDTF">2001-08-17T18:39:00Z</dcterms:modified>
  <cp:revision>8</cp:revision>
  <dc:subject/>
  <dc:title>The Sysco agreement is not on the recently-approved EES Master; however, key provisions from the EES Master have been incorpor</dc:title>
</cp:coreProperties>
</file>