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32"/>
        </w:rPr>
      </w:pPr>
      <w:r>
        <w:rPr>
          <w:b/>
          <w:sz w:val="32"/>
        </w:rPr>
        <w:t>ENRON RISK ASSESSMENT AND CONTROL</w:t>
      </w:r>
    </w:p>
    <w:p>
      <w:pPr>
        <w:pStyle w:val="Normal"/>
        <w:widowControl/>
        <w:jc w:val="center"/>
        <w:rPr>
          <w:b/>
          <w:sz w:val="32"/>
        </w:rPr>
      </w:pPr>
      <w:r>
        <w:rPr>
          <w:b/>
          <w:sz w:val="32"/>
        </w:rPr>
        <w:t xml:space="preserve"> </w:t>
      </w:r>
      <w:r>
        <w:rPr>
          <w:b/>
          <w:sz w:val="32"/>
        </w:rPr>
        <w:t>DEAL APPROVAL SHEET</w:t>
      </w:r>
    </w:p>
    <w:p>
      <w:pPr>
        <w:pStyle w:val="Normal"/>
        <w:widowControl/>
        <w:rPr>
          <w:b/>
          <w:sz w:val="32"/>
        </w:rPr>
      </w:pPr>
      <w:r>
        <w:rPr>
          <w:b/>
          <w:sz w:val="32"/>
        </w:rPr>
      </w:r>
    </w:p>
    <w:tbl>
      <w:tblPr>
        <w:tblW w:w="10188" w:type="dxa"/>
        <w:jc w:val="start"/>
        <w:tblInd w:w="0" w:type="dxa"/>
        <w:tblLayout w:type="fixed"/>
        <w:tblCellMar>
          <w:top w:w="0" w:type="dxa"/>
          <w:start w:w="108" w:type="dxa"/>
          <w:bottom w:w="0" w:type="dxa"/>
          <w:end w:w="108" w:type="dxa"/>
        </w:tblCellMar>
      </w:tblPr>
      <w:tblGrid>
        <w:gridCol w:w="2893"/>
        <w:gridCol w:w="275"/>
        <w:gridCol w:w="2610"/>
        <w:gridCol w:w="2203"/>
        <w:gridCol w:w="555"/>
        <w:gridCol w:w="72"/>
        <w:gridCol w:w="1580"/>
      </w:tblGrid>
      <w:tr>
        <w:trPr/>
        <w:tc>
          <w:tcPr>
            <w:tcW w:w="2893" w:type="dxa"/>
            <w:tcBorders>
              <w:top w:val="single" w:sz="6" w:space="0" w:color="000000"/>
            </w:tcBorders>
          </w:tcPr>
          <w:p>
            <w:pPr>
              <w:pStyle w:val="Normal"/>
              <w:widowControl/>
              <w:ind w:end="792"/>
              <w:rPr>
                <w:b/>
              </w:rPr>
            </w:pPr>
            <w:r>
              <w:rPr>
                <w:b/>
              </w:rPr>
              <w:t xml:space="preserve">DEAL NAME:                 </w:t>
            </w:r>
          </w:p>
          <w:p>
            <w:pPr>
              <w:pStyle w:val="Normal"/>
              <w:widowControl/>
              <w:ind w:end="792"/>
              <w:rPr>
                <w:b/>
              </w:rPr>
            </w:pPr>
            <w:r>
              <w:rPr>
                <w:b/>
              </w:rPr>
              <w:t xml:space="preserve">Counterparty:          </w:t>
            </w:r>
          </w:p>
        </w:tc>
        <w:tc>
          <w:tcPr>
            <w:tcW w:w="2885" w:type="dxa"/>
            <w:gridSpan w:val="2"/>
            <w:tcBorders>
              <w:top w:val="single" w:sz="6" w:space="0" w:color="000000"/>
            </w:tcBorders>
          </w:tcPr>
          <w:p>
            <w:pPr>
              <w:pStyle w:val="Header"/>
              <w:widowControl/>
              <w:tabs>
                <w:tab w:val="clear" w:pos="4320"/>
                <w:tab w:val="clear" w:pos="8640"/>
              </w:tabs>
              <w:rPr/>
            </w:pPr>
            <w:r>
              <w:rPr/>
              <w:t xml:space="preserve"> </w:t>
            </w:r>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t>Midwest Energy Hub, L.L.C.</w:t>
            </w:r>
            <w:r/>
            <w:r>
              <w:rPr>
                <w:lang w:val="en-CA"/>
              </w:rPr>
              <w:fldChar w:fldCharType="end"/>
            </w:r>
            <w:r>
              <w:rPr>
                <w:lang w:val="en-CA"/>
              </w:rPr>
            </w:r>
          </w:p>
          <w:p>
            <w:pPr>
              <w:pStyle w:val="Header"/>
              <w:widowControl/>
              <w:tabs>
                <w:tab w:val="clear" w:pos="4320"/>
                <w:tab w:val="clear" w:pos="8640"/>
              </w:tabs>
              <w:rPr/>
            </w:pPr>
            <w:r>
              <w:rPr/>
              <w:t>(ENA/Peoples Energy JV)</w:t>
            </w:r>
          </w:p>
        </w:tc>
        <w:tc>
          <w:tcPr>
            <w:tcW w:w="2830" w:type="dxa"/>
            <w:gridSpan w:val="3"/>
            <w:tcBorders>
              <w:top w:val="single" w:sz="6" w:space="0" w:color="000000"/>
            </w:tcBorders>
          </w:tcPr>
          <w:p>
            <w:pPr>
              <w:pStyle w:val="Normal"/>
              <w:widowControl/>
              <w:ind w:firstLine="90" w:start="-198" w:end="-1095"/>
              <w:rPr>
                <w:b/>
              </w:rPr>
            </w:pPr>
            <w:r>
              <w:rPr>
                <w:b/>
              </w:rPr>
              <w:t>Date DASH Completed:</w:t>
            </w:r>
          </w:p>
          <w:p>
            <w:pPr>
              <w:pStyle w:val="Normal"/>
              <w:widowControl/>
              <w:ind w:firstLine="90" w:start="-198" w:end="-1095"/>
              <w:rPr>
                <w:b/>
              </w:rPr>
            </w:pPr>
            <w:r>
              <w:rPr>
                <w:b/>
              </w:rPr>
              <w:t xml:space="preserve">RAC Analyst: </w:t>
            </w:r>
          </w:p>
        </w:tc>
        <w:tc>
          <w:tcPr>
            <w:tcW w:w="1580" w:type="dxa"/>
            <w:tcBorders>
              <w:top w:val="single" w:sz="6" w:space="0" w:color="000000"/>
            </w:tcBorders>
          </w:tcPr>
          <w:p>
            <w:pPr>
              <w:pStyle w:val="Header"/>
              <w:widowControl/>
              <w:tabs>
                <w:tab w:val="clear" w:pos="4320"/>
                <w:tab w:val="clear" w:pos="8640"/>
              </w:tabs>
              <w:ind w:hanging="1443" w:start="1602" w:end="0"/>
              <w:rPr/>
            </w:pPr>
            <w:r>
              <w:rPr/>
              <w:t>8/08/00</w:t>
            </w:r>
          </w:p>
          <w:p>
            <w:pPr>
              <w:pStyle w:val="Header"/>
              <w:widowControl/>
              <w:tabs>
                <w:tab w:val="clear" w:pos="4320"/>
                <w:tab w:val="clear" w:pos="8640"/>
              </w:tabs>
              <w:ind w:hanging="1443" w:start="1602" w:end="0"/>
              <w:rPr/>
            </w:pPr>
            <w:r>
              <w:rPr/>
            </w:r>
          </w:p>
        </w:tc>
      </w:tr>
      <w:tr>
        <w:trPr/>
        <w:tc>
          <w:tcPr>
            <w:tcW w:w="2893" w:type="dxa"/>
            <w:tcBorders/>
          </w:tcPr>
          <w:p>
            <w:pPr>
              <w:pStyle w:val="Normal"/>
              <w:widowControl/>
              <w:rPr>
                <w:b/>
              </w:rPr>
            </w:pPr>
            <w:r>
              <w:rPr>
                <w:b/>
              </w:rPr>
              <w:t xml:space="preserve">Business Unit Originator: </w:t>
            </w:r>
          </w:p>
        </w:tc>
        <w:tc>
          <w:tcPr>
            <w:tcW w:w="2885" w:type="dxa"/>
            <w:gridSpan w:val="2"/>
            <w:tcBorders/>
          </w:tcPr>
          <w:p>
            <w:pPr>
              <w:pStyle w:val="Header"/>
              <w:widowControl/>
              <w:tabs>
                <w:tab w:val="clear" w:pos="4320"/>
                <w:tab w:val="clear" w:pos="8640"/>
              </w:tabs>
              <w:rPr/>
            </w:pPr>
            <w:r>
              <w:rPr/>
              <w:t>Gregg Penman/Laura Luce</w:t>
            </w:r>
          </w:p>
        </w:tc>
        <w:tc>
          <w:tcPr>
            <w:tcW w:w="2203" w:type="dxa"/>
            <w:tcBorders/>
          </w:tcPr>
          <w:p>
            <w:pPr>
              <w:pStyle w:val="Normal"/>
              <w:widowControl/>
              <w:ind w:firstLine="90" w:start="-198" w:end="-738"/>
              <w:rPr>
                <w:b/>
              </w:rPr>
            </w:pPr>
            <w:r>
              <w:rPr>
                <w:b/>
              </w:rPr>
              <w:t xml:space="preserve">Investment Type: </w:t>
            </w:r>
          </w:p>
        </w:tc>
        <w:tc>
          <w:tcPr>
            <w:tcW w:w="2207" w:type="dxa"/>
            <w:gridSpan w:val="3"/>
            <w:tcBorders/>
          </w:tcPr>
          <w:p>
            <w:pPr>
              <w:pStyle w:val="Normal"/>
              <w:widowControl/>
              <w:ind w:firstLine="90" w:start="-198" w:end="0"/>
              <w:rPr/>
            </w:pPr>
            <w:r>
              <w:rPr/>
              <w:t>Revolving Credit Facility</w:t>
            </w:r>
          </w:p>
        </w:tc>
      </w:tr>
      <w:tr>
        <w:trPr/>
        <w:tc>
          <w:tcPr>
            <w:tcW w:w="3168" w:type="dxa"/>
            <w:gridSpan w:val="2"/>
            <w:tcBorders/>
          </w:tcPr>
          <w:p>
            <w:pPr>
              <w:pStyle w:val="Normal"/>
              <w:widowControl/>
              <w:ind w:end="-544"/>
              <w:rPr>
                <w:b/>
              </w:rPr>
            </w:pPr>
            <w:r>
              <w:rPr>
                <w:b/>
              </w:rPr>
              <w:t>Expected Closing Date:</w:t>
            </w:r>
          </w:p>
          <w:p>
            <w:pPr>
              <w:pStyle w:val="Normal"/>
              <w:widowControl/>
              <w:ind w:end="-1188"/>
              <w:rPr>
                <w:b/>
              </w:rPr>
            </w:pPr>
            <w:r>
              <w:rPr>
                <w:b/>
              </w:rPr>
              <w:t>Expected Funding Date:</w:t>
            </w:r>
          </w:p>
          <w:p>
            <w:pPr>
              <w:pStyle w:val="Normal"/>
              <w:widowControl/>
              <w:rPr>
                <w:rFonts w:ascii="Wingdings" w:hAnsi="Wingdings" w:cs="Wingdings"/>
                <w:b/>
                <w:sz w:val="28"/>
              </w:rPr>
            </w:pPr>
            <w:r>
              <w:rPr>
                <w:rFonts w:cs="Wingdings" w:ascii="Wingdings" w:hAnsi="Wingdings"/>
              </w:rPr>
              <w:sym w:font="Wingdings" w:char="f070"/>
            </w:r>
            <w:r>
              <w:rPr>
                <w:b/>
              </w:rPr>
              <w:t xml:space="preserve">Public            </w:t>
            </w:r>
            <w:r>
              <w:rPr>
                <w:rFonts w:cs="Wingdings" w:ascii="Wingdings" w:hAnsi="Wingdings"/>
              </w:rPr>
              <w:sym w:font="Wingdings" w:char="f070"/>
            </w:r>
            <w:r>
              <w:rPr>
                <w:b/>
              </w:rPr>
              <w:t xml:space="preserve">Private </w:t>
            </w:r>
          </w:p>
          <w:p>
            <w:pPr>
              <w:pStyle w:val="Normal"/>
              <w:widowControl/>
              <w:ind w:end="-738"/>
              <w:rPr/>
            </w:pPr>
            <w:r>
              <w:rPr>
                <w:rFonts w:cs="Wingdings" w:ascii="Wingdings" w:hAnsi="Wingdings"/>
              </w:rPr>
              <w:sym w:font="Wingdings" w:char="f070"/>
            </w:r>
            <w:r>
              <w:rPr>
                <w:b/>
              </w:rPr>
              <w:t xml:space="preserve">Merchant      </w:t>
            </w:r>
            <w:r>
              <w:rPr>
                <w:rFonts w:cs="Wingdings" w:ascii="Wingdings" w:hAnsi="Wingdings"/>
              </w:rPr>
              <w:sym w:font="Wingdings" w:char="f070"/>
            </w:r>
            <w:r>
              <w:rPr>
                <w:b/>
              </w:rPr>
              <w:t>Strategic</w:t>
            </w:r>
          </w:p>
          <w:p>
            <w:pPr>
              <w:pStyle w:val="Normal"/>
              <w:widowControl/>
              <w:ind w:end="-1188"/>
              <w:rPr/>
            </w:pPr>
            <w:r>
              <w:rPr>
                <w:rFonts w:cs="Wingdings" w:ascii="Wingdings" w:hAnsi="Wingdings"/>
              </w:rPr>
              <w:sym w:font="Wingdings" w:char="f070"/>
            </w:r>
            <w:r>
              <w:rPr>
                <w:b/>
              </w:rPr>
              <w:t xml:space="preserve">Conforming  </w:t>
            </w:r>
            <w:r>
              <w:rPr>
                <w:rFonts w:cs="Wingdings" w:ascii="Wingdings" w:hAnsi="Wingdings"/>
              </w:rPr>
              <w:sym w:font="Wingdings" w:char="f070"/>
            </w:r>
            <w:r>
              <w:rPr>
                <w:b/>
              </w:rPr>
              <w:t>Nonconforming</w:t>
            </w:r>
          </w:p>
        </w:tc>
        <w:tc>
          <w:tcPr>
            <w:tcW w:w="2610" w:type="dxa"/>
            <w:tcBorders/>
          </w:tcPr>
          <w:p>
            <w:pPr>
              <w:pStyle w:val="Header"/>
              <w:widowControl/>
              <w:tabs>
                <w:tab w:val="clear" w:pos="4320"/>
                <w:tab w:val="clear" w:pos="8640"/>
              </w:tabs>
              <w:ind w:start="162" w:end="0"/>
              <w:rPr>
                <w:lang w:val="en-CA"/>
              </w:rPr>
            </w:pPr>
            <w:r>
              <w:fldChar w:fldCharType="begin">
                <w:ffData>
                  <w:name w:val="Text4"/>
                  <w:enabled/>
                  <w:calcOnExit w:val="0"/>
                  <w:textInput/>
                </w:ffData>
              </w:fldChar>
            </w:r>
            <w:r>
              <w:rPr>
                <w:lang w:val="en-CA"/>
              </w:rPr>
              <w:instrText xml:space="preserve"> FORMTEXT </w:instrText>
            </w:r>
            <w:bookmarkStart w:id="0" w:name="Text4_Copy_1"/>
            <w:r>
              <w:rPr>
                <w:lang w:val="en-CA"/>
              </w:rPr>
            </w:r>
            <w:r>
              <w:rPr>
                <w:lang w:val="en-CA"/>
              </w:rPr>
              <w:fldChar w:fldCharType="separate"/>
            </w:r>
            <w:r>
              <w:rPr>
                <w:lang w:val="en-CA"/>
              </w:rPr>
              <w:t>8/15/00</w:t>
            </w:r>
            <w:r/>
            <w:r>
              <w:rPr>
                <w:lang w:val="en-CA"/>
              </w:rPr>
              <w:fldChar w:fldCharType="end"/>
            </w:r>
            <w:r>
              <w:rPr>
                <w:lang w:val="en-CA"/>
              </w:rPr>
            </w:r>
            <w:bookmarkEnd w:id="0"/>
          </w:p>
          <w:p>
            <w:pPr>
              <w:pStyle w:val="Header"/>
              <w:widowControl/>
              <w:tabs>
                <w:tab w:val="clear" w:pos="4320"/>
                <w:tab w:val="clear" w:pos="8640"/>
              </w:tabs>
              <w:ind w:start="162" w:end="0"/>
              <w:rPr/>
            </w:pPr>
            <w:r>
              <w:rPr/>
              <w:t>9/01/00</w:t>
            </w:r>
          </w:p>
        </w:tc>
        <w:tc>
          <w:tcPr>
            <w:tcW w:w="2758" w:type="dxa"/>
            <w:gridSpan w:val="2"/>
            <w:tcBorders/>
          </w:tcPr>
          <w:p>
            <w:pPr>
              <w:pStyle w:val="Normal"/>
              <w:widowControl/>
              <w:ind w:firstLine="90" w:start="-198" w:end="-544"/>
              <w:rPr>
                <w:b/>
              </w:rPr>
            </w:pPr>
            <w:r>
              <w:rPr>
                <w:b/>
              </w:rPr>
              <w:t xml:space="preserve">Capital Funding Source(s):     </w:t>
            </w:r>
          </w:p>
          <w:p>
            <w:pPr>
              <w:pStyle w:val="Normal"/>
              <w:widowControl/>
              <w:ind w:firstLine="90" w:start="-198" w:end="-1188"/>
              <w:rPr>
                <w:b/>
              </w:rPr>
            </w:pPr>
            <w:r>
              <w:rPr>
                <w:b/>
              </w:rPr>
            </w:r>
          </w:p>
          <w:p>
            <w:pPr>
              <w:pStyle w:val="Normal"/>
              <w:widowControl/>
              <w:ind w:firstLine="90" w:start="-198" w:end="-1188"/>
              <w:rPr>
                <w:b/>
              </w:rPr>
            </w:pPr>
            <w:r>
              <w:rPr>
                <w:b/>
              </w:rPr>
              <w:t>Board Approval:</w:t>
            </w:r>
          </w:p>
          <w:p>
            <w:pPr>
              <w:pStyle w:val="Normal"/>
              <w:widowControl/>
              <w:ind w:firstLine="90" w:start="-198" w:end="-1188"/>
              <w:rPr/>
            </w:pPr>
            <w:r>
              <w:rPr>
                <w:b/>
              </w:rPr>
              <w:t xml:space="preserve"> </w:t>
            </w:r>
            <w:r>
              <w:rPr>
                <w:rFonts w:cs="Wingdings" w:ascii="Wingdings" w:hAnsi="Wingdings"/>
              </w:rPr>
              <w:sym w:font="Wingdings" w:char="f070"/>
            </w:r>
            <w:r>
              <w:rPr>
                <w:b/>
              </w:rPr>
              <w:t xml:space="preserve"> </w:t>
            </w:r>
            <w:r>
              <w:rPr>
                <w:b/>
              </w:rPr>
              <w:t xml:space="preserve">Pending </w:t>
            </w:r>
            <w:r>
              <w:rPr>
                <w:rFonts w:cs="Wingdings" w:ascii="Wingdings" w:hAnsi="Wingdings"/>
              </w:rPr>
              <w:sym w:font="Wingdings" w:char="f070"/>
            </w:r>
            <w:r>
              <w:rPr>
                <w:b/>
              </w:rPr>
              <w:t xml:space="preserve"> Received </w:t>
            </w:r>
          </w:p>
          <w:p>
            <w:pPr>
              <w:pStyle w:val="Normal"/>
              <w:widowControl/>
              <w:ind w:firstLine="90" w:start="-198" w:end="-544"/>
              <w:rPr/>
            </w:pPr>
            <w:r>
              <w:rPr>
                <w:b/>
              </w:rPr>
              <w:t xml:space="preserve"> </w:t>
            </w:r>
            <w:r>
              <w:rPr>
                <w:rFonts w:cs="Wingdings" w:ascii="Wingdings" w:hAnsi="Wingdings"/>
              </w:rPr>
              <w:sym w:font="Wingdings" w:char="f070"/>
            </w:r>
            <w:r>
              <w:rPr>
                <w:b/>
              </w:rPr>
              <w:t xml:space="preserve"> </w:t>
            </w:r>
            <w:r>
              <w:rPr>
                <w:b/>
              </w:rPr>
              <w:t xml:space="preserve">Denied   </w:t>
            </w:r>
            <w:r>
              <w:rPr>
                <w:rFonts w:cs="Wingdings" w:ascii="Wingdings" w:hAnsi="Wingdings"/>
              </w:rPr>
              <w:sym w:font="Wingdings" w:char="f070"/>
            </w:r>
            <w:r>
              <w:rPr>
                <w:b/>
              </w:rPr>
              <w:t xml:space="preserve"> N/A</w:t>
            </w:r>
          </w:p>
        </w:tc>
        <w:tc>
          <w:tcPr>
            <w:tcW w:w="1652" w:type="dxa"/>
            <w:gridSpan w:val="2"/>
            <w:tcBorders/>
          </w:tcPr>
          <w:p>
            <w:pPr>
              <w:pStyle w:val="Normal"/>
              <w:widowControl/>
              <w:ind w:start="374" w:end="0"/>
              <w:rPr/>
            </w:pPr>
            <w:r>
              <w:rPr/>
              <w:t>Enron Corp.</w:t>
            </w:r>
          </w:p>
          <w:p>
            <w:pPr>
              <w:pStyle w:val="Normal"/>
              <w:widowControl/>
              <w:ind w:hanging="5" w:start="787" w:end="0"/>
              <w:rPr/>
            </w:pPr>
            <w:r>
              <w:rPr/>
            </w:r>
          </w:p>
        </w:tc>
      </w:tr>
      <w:tr>
        <w:trPr/>
        <w:tc>
          <w:tcPr>
            <w:tcW w:w="2893" w:type="dxa"/>
            <w:tcBorders>
              <w:bottom w:val="single" w:sz="6" w:space="0" w:color="000000"/>
            </w:tcBorders>
          </w:tcPr>
          <w:p>
            <w:pPr>
              <w:pStyle w:val="Normal"/>
              <w:widowControl/>
              <w:snapToGrid w:val="false"/>
              <w:rPr>
                <w:b/>
              </w:rPr>
            </w:pPr>
            <w:r>
              <w:rPr>
                <w:b/>
              </w:rPr>
            </w:r>
          </w:p>
        </w:tc>
        <w:tc>
          <w:tcPr>
            <w:tcW w:w="2885" w:type="dxa"/>
            <w:gridSpan w:val="2"/>
            <w:tcBorders>
              <w:bottom w:val="single" w:sz="6" w:space="0" w:color="000000"/>
            </w:tcBorders>
          </w:tcPr>
          <w:p>
            <w:pPr>
              <w:pStyle w:val="Header"/>
              <w:widowControl/>
              <w:tabs>
                <w:tab w:val="clear" w:pos="4320"/>
                <w:tab w:val="clear" w:pos="8640"/>
              </w:tabs>
              <w:snapToGrid w:val="false"/>
              <w:rPr>
                <w:b/>
              </w:rPr>
            </w:pPr>
            <w:r>
              <w:rPr>
                <w:b/>
              </w:rPr>
            </w:r>
          </w:p>
        </w:tc>
        <w:tc>
          <w:tcPr>
            <w:tcW w:w="2203" w:type="dxa"/>
            <w:tcBorders>
              <w:bottom w:val="single" w:sz="6" w:space="0" w:color="000000"/>
            </w:tcBorders>
          </w:tcPr>
          <w:p>
            <w:pPr>
              <w:pStyle w:val="Normal"/>
              <w:widowControl/>
              <w:snapToGrid w:val="false"/>
              <w:ind w:end="-108"/>
              <w:rPr>
                <w:b/>
              </w:rPr>
            </w:pPr>
            <w:r>
              <w:rPr>
                <w:b/>
              </w:rPr>
            </w:r>
          </w:p>
        </w:tc>
        <w:tc>
          <w:tcPr>
            <w:tcW w:w="2207" w:type="dxa"/>
            <w:gridSpan w:val="3"/>
            <w:tcBorders>
              <w:bottom w:val="single" w:sz="6" w:space="0" w:color="000000"/>
            </w:tcBorders>
          </w:tcPr>
          <w:p>
            <w:pPr>
              <w:pStyle w:val="Normal"/>
              <w:widowControl/>
              <w:snapToGrid w:val="false"/>
              <w:rPr>
                <w:b/>
              </w:rPr>
            </w:pPr>
            <w:r>
              <w:rPr>
                <w:b/>
              </w:rPr>
            </w:r>
          </w:p>
        </w:tc>
      </w:tr>
    </w:tbl>
    <w:p>
      <w:pPr>
        <w:pStyle w:val="Normal"/>
        <w:widowControl/>
        <w:rPr>
          <w:b/>
          <w:i/>
          <w:i/>
        </w:rPr>
      </w:pPr>
      <w:r>
        <w:rPr>
          <w:b/>
          <w:i/>
        </w:rPr>
        <w:t xml:space="preserve">DEAL DESCRIPTION: </w:t>
      </w:r>
    </w:p>
    <w:p>
      <w:pPr>
        <w:pStyle w:val="Normal"/>
        <w:widowControl/>
        <w:rPr>
          <w:b/>
          <w:i/>
          <w:i/>
        </w:rPr>
      </w:pPr>
      <w:r>
        <w:rPr>
          <w:b/>
          <w:i/>
        </w:rPr>
      </w:r>
    </w:p>
    <w:p>
      <w:pPr>
        <w:pStyle w:val="Heading8"/>
        <w:ind w:hanging="0" w:start="0"/>
        <w:rPr/>
      </w:pPr>
      <w:r>
        <w:rPr/>
        <w:t>Overview</w:t>
      </w:r>
    </w:p>
    <w:p>
      <w:pPr>
        <w:pStyle w:val="Header"/>
        <w:widowControl/>
        <w:tabs>
          <w:tab w:val="clear" w:pos="4320"/>
          <w:tab w:val="clear" w:pos="8640"/>
        </w:tabs>
        <w:rPr/>
      </w:pPr>
      <w:r>
        <w:rPr/>
        <w:t>Enron North America Corp. (ENA) and Peoples Energy Corp. (Peoples), through the formation of Midwest Energy Hub, L.L.C (MEH) on April 26, 2000, will jointly expand and enhance People’s existing natural gas market hub and provide natural gas marketing, transportation and storage services to the growing Chicago market. Headquartered in Chicago, MEH is owned 50% by Enron MW, L.L.C. (EMW), a wholly owned subsidiary of ENA, and 50% by Peoples MW, LLC, a wholly owned subsidiary of Peoples Energy Corp.  EMW, as Managing Member, is responsible for daily operations, including the management of MEH’s trading portfolio.  EMW, through ENA, is also providing the majority of administrative support functions such as back office, risk management, credit, accounting, billing, and treasury.  In furtherance of MEH’s goals of leveraging ENA’s integrated systems, MEH requests the establishment of a revolving credit facility in the amount of $50 million with Enron Corp. to fund the anticipated working capital requirements of MEH.</w:t>
      </w:r>
    </w:p>
    <w:p>
      <w:pPr>
        <w:pStyle w:val="Header"/>
        <w:widowControl/>
        <w:tabs>
          <w:tab w:val="clear" w:pos="4320"/>
          <w:tab w:val="clear" w:pos="8640"/>
        </w:tabs>
        <w:rPr/>
      </w:pPr>
      <w:r>
        <w:rPr/>
      </w:r>
    </w:p>
    <w:p>
      <w:pPr>
        <w:pStyle w:val="Header"/>
        <w:widowControl/>
        <w:tabs>
          <w:tab w:val="clear" w:pos="4320"/>
          <w:tab w:val="clear" w:pos="8640"/>
        </w:tabs>
        <w:rPr>
          <w:u w:val="single"/>
        </w:rPr>
      </w:pPr>
      <w:r>
        <w:rPr>
          <w:u w:val="single"/>
        </w:rPr>
        <w:t>Revolver</w:t>
      </w:r>
    </w:p>
    <w:p>
      <w:pPr>
        <w:pStyle w:val="Header"/>
        <w:widowControl/>
        <w:tabs>
          <w:tab w:val="clear" w:pos="4320"/>
          <w:tab w:val="clear" w:pos="8640"/>
        </w:tabs>
        <w:rPr/>
      </w:pPr>
      <w:r>
        <w:rPr/>
        <w:t xml:space="preserve">Pursuant to the MEH Risk Management Policy, MEH will be entering into various transactions designed to capture and manage risks related to the physical delivery of the approved commodities, to provide related risk management services, to optimize various assets under management, to take advantage of market arbitrage opportunities and to manage positions within the approved limits.  One example is MEH’s optimization of natural gas storage services.  Under a profit-sharing mechanism with Peoples Gas Light and Coke, Co., MEH will optimize the injection, withdrawal and capacity rights associated with a leased storage service.  Related transactions include intraday market opportunities as well as seasonal spread opportunities.  Seasonal spreads will require MEH to hedge the injections and withdrawals thereby creating a cash flow timing difference.  The revolver is intended to finance these temporary timing differences, in addition to those created by other transactions.  The revolver is not intended to fund ongoing O&amp;M needs nor any anticipated capital expenditures.  Ongoing O&amp;M needs such as rent, utilities, salaries, etc. will be borne directly by either ENA or Peoples and not MEH.  Any desired capital expenditures will be subject to ENA’s DASH process and, if approved, will be likely funded by additional capital contributions from ENA and Peoples to MEH.  </w:t>
      </w:r>
    </w:p>
    <w:p>
      <w:pPr>
        <w:pStyle w:val="Header"/>
        <w:widowControl/>
        <w:tabs>
          <w:tab w:val="clear" w:pos="4320"/>
          <w:tab w:val="clear" w:pos="8640"/>
        </w:tabs>
        <w:rPr/>
      </w:pPr>
      <w:r>
        <w:rPr/>
      </w:r>
    </w:p>
    <w:p>
      <w:pPr>
        <w:pStyle w:val="Header"/>
        <w:widowControl/>
        <w:tabs>
          <w:tab w:val="clear" w:pos="4320"/>
          <w:tab w:val="clear" w:pos="8640"/>
        </w:tabs>
        <w:rPr/>
      </w:pPr>
      <w:r>
        <w:rPr/>
        <w:t>It is currently anticipated that Enron Global Finance and ENA Accounting will have primary responsibility for administration of the revolver in accordance with the MEH Cash Management Policy.  Enron Global Finance will be responsible for daily cash management including disbursements, receipts and any necessary draws under the available line.  ENA accounting will be responsible for reporting the outstanding balance and calculating the appropriate interest payments.</w:t>
      </w:r>
    </w:p>
    <w:p>
      <w:pPr>
        <w:pStyle w:val="Header"/>
        <w:widowControl/>
        <w:tabs>
          <w:tab w:val="clear" w:pos="4320"/>
          <w:tab w:val="clear" w:pos="8640"/>
        </w:tabs>
        <w:rPr/>
      </w:pPr>
      <w:r>
        <w:rPr/>
        <w:t xml:space="preserve"> </w:t>
      </w:r>
    </w:p>
    <w:p>
      <w:pPr>
        <w:pStyle w:val="Header"/>
        <w:widowControl/>
        <w:tabs>
          <w:tab w:val="clear" w:pos="4320"/>
          <w:tab w:val="clear" w:pos="8640"/>
        </w:tabs>
        <w:rPr/>
      </w:pPr>
      <w:r>
        <w:rPr/>
        <w:t>The initial request of $50 million is based on currently anticipated MEH business needs and cash flow forecasts.  MEH will review the need for revisions and renewals to the credit facility as business conditions dictate, but no less frequently than annually.  Any requested revisions or renewals will follow any necessary Enron approval processes.</w:t>
      </w:r>
    </w:p>
    <w:p>
      <w:pPr>
        <w:pStyle w:val="Header"/>
        <w:widowControl/>
        <w:tabs>
          <w:tab w:val="clear" w:pos="4320"/>
          <w:tab w:val="clear" w:pos="8640"/>
        </w:tabs>
        <w:rPr/>
      </w:pPr>
      <w:r>
        <w:rPr/>
      </w:r>
    </w:p>
    <w:p>
      <w:pPr>
        <w:pStyle w:val="Header"/>
        <w:widowControl/>
        <w:tabs>
          <w:tab w:val="clear" w:pos="4320"/>
          <w:tab w:val="clear" w:pos="8640"/>
        </w:tabs>
        <w:rPr>
          <w:u w:val="single"/>
        </w:rPr>
      </w:pPr>
      <w:r>
        <w:rPr>
          <w:u w:val="single"/>
        </w:rPr>
        <w:t>Mitigants</w:t>
      </w:r>
    </w:p>
    <w:p>
      <w:pPr>
        <w:pStyle w:val="Header"/>
        <w:widowControl/>
        <w:tabs>
          <w:tab w:val="clear" w:pos="4320"/>
          <w:tab w:val="clear" w:pos="8640"/>
        </w:tabs>
        <w:rPr/>
      </w:pPr>
      <w:r>
        <w:rPr/>
        <w:t>Peoples Energy Corp. will be providing Enron Corp. with a Parent Guarantee in the amount of $25 million to cover Peoples’ share of the potential MEH liability.</w:t>
      </w:r>
    </w:p>
    <w:p>
      <w:pPr>
        <w:pStyle w:val="Header"/>
        <w:widowControl/>
        <w:tabs>
          <w:tab w:val="clear" w:pos="4320"/>
          <w:tab w:val="clear" w:pos="8640"/>
        </w:tabs>
        <w:rPr/>
      </w:pPr>
      <w:r>
        <w:rPr/>
      </w:r>
    </w:p>
    <w:p>
      <w:pPr>
        <w:pStyle w:val="Header"/>
        <w:widowControl/>
        <w:tabs>
          <w:tab w:val="clear" w:pos="4320"/>
          <w:tab w:val="clear" w:pos="8640"/>
        </w:tabs>
        <w:rPr>
          <w:u w:val="single"/>
        </w:rPr>
      </w:pPr>
      <w:r>
        <w:rPr>
          <w:u w:val="single"/>
        </w:rPr>
        <w:t>Upside</w:t>
      </w:r>
    </w:p>
    <w:p>
      <w:pPr>
        <w:pStyle w:val="Header"/>
        <w:widowControl/>
        <w:tabs>
          <w:tab w:val="clear" w:pos="4320"/>
          <w:tab w:val="clear" w:pos="8640"/>
        </w:tabs>
        <w:rPr/>
      </w:pPr>
      <w:r>
        <w:rPr/>
        <w:t>Current negotiations contemplate that MEH will compensate Enron Corp. at a rate above Enron’s cost of funds.</w:t>
      </w:r>
    </w:p>
    <w:p>
      <w:pPr>
        <w:pStyle w:val="Header"/>
        <w:widowControl/>
        <w:tabs>
          <w:tab w:val="clear" w:pos="4320"/>
          <w:tab w:val="clear" w:pos="8640"/>
        </w:tabs>
        <w:rPr/>
      </w:pPr>
      <w:r>
        <w:rPr/>
      </w:r>
    </w:p>
    <w:p>
      <w:pPr>
        <w:pStyle w:val="Header"/>
        <w:widowControl/>
        <w:tabs>
          <w:tab w:val="clear" w:pos="4320"/>
          <w:tab w:val="clear" w:pos="8640"/>
        </w:tabs>
        <w:rPr/>
      </w:pPr>
      <w:r>
        <w:rPr/>
      </w:r>
    </w:p>
    <w:p>
      <w:pPr>
        <w:pStyle w:val="Normal"/>
        <w:widowControl/>
        <w:rPr>
          <w:b/>
        </w:rPr>
      </w:pPr>
      <w:r>
        <w:rPr>
          <w:b/>
        </w:rPr>
      </w:r>
    </w:p>
    <w:p>
      <w:pPr>
        <w:pStyle w:val="Heading2"/>
        <w:widowControl/>
        <w:ind w:hanging="0" w:start="0"/>
        <w:rPr/>
      </w:pPr>
      <w:r>
        <w:rPr/>
        <w:t>SUMMARY: (note – each instrument must be shown – options must be shown separately)</w:t>
      </w:r>
    </w:p>
    <w:p>
      <w:pPr>
        <w:pStyle w:val="Normal"/>
        <w:widowControl/>
        <w:tabs>
          <w:tab w:val="clear" w:pos="720"/>
          <w:tab w:val="left" w:pos="9900" w:leader="none"/>
        </w:tabs>
        <w:ind w:firstLine="720" w:start="2880" w:end="0"/>
        <w:rPr/>
      </w:pPr>
      <w:r>
        <w:rPr>
          <w:b/>
          <w:i/>
        </w:rPr>
        <w:t xml:space="preserve">            </w:t>
      </w:r>
      <w:r>
        <w:rPr>
          <w:b/>
          <w:i/>
          <w:u w:val="single"/>
        </w:rPr>
        <w:t xml:space="preserve"> </w:t>
      </w:r>
      <w:r>
        <w:rPr>
          <w:b/>
          <w:i/>
          <w:u w:val="single"/>
        </w:rPr>
        <w:t>($000</w:t>
      </w:r>
      <w:r>
        <w:rPr/>
        <w:t>)</w:t>
      </w:r>
    </w:p>
    <w:tbl>
      <w:tblPr>
        <w:tblW w:w="10006" w:type="dxa"/>
        <w:jc w:val="center"/>
        <w:tblInd w:w="0" w:type="dxa"/>
        <w:tblLayout w:type="fixed"/>
        <w:tblCellMar>
          <w:top w:w="0" w:type="dxa"/>
          <w:start w:w="108" w:type="dxa"/>
          <w:bottom w:w="0" w:type="dxa"/>
          <w:end w:w="108" w:type="dxa"/>
        </w:tblCellMar>
      </w:tblPr>
      <w:tblGrid>
        <w:gridCol w:w="3408"/>
        <w:gridCol w:w="1421"/>
        <w:gridCol w:w="586"/>
        <w:gridCol w:w="4063"/>
        <w:gridCol w:w="528"/>
      </w:tblGrid>
      <w:tr>
        <w:trPr/>
        <w:tc>
          <w:tcPr>
            <w:tcW w:w="3408" w:type="dxa"/>
            <w:tcBorders/>
          </w:tcPr>
          <w:p>
            <w:pPr>
              <w:pStyle w:val="Normal"/>
              <w:widowControl/>
              <w:ind w:start="420" w:end="0"/>
              <w:rPr>
                <w:b/>
              </w:rPr>
            </w:pPr>
            <w:r>
              <w:rPr>
                <w:b/>
              </w:rPr>
              <w:t>NPV @ Capital Price (incl. fees)</w:t>
            </w:r>
          </w:p>
          <w:p>
            <w:pPr>
              <w:pStyle w:val="Normal"/>
              <w:widowControl/>
              <w:ind w:start="420" w:end="0"/>
              <w:rPr>
                <w:b/>
              </w:rPr>
            </w:pPr>
            <w:r>
              <w:rPr>
                <w:b/>
              </w:rPr>
              <w:t>Capital Commitment</w:t>
            </w:r>
          </w:p>
          <w:p>
            <w:pPr>
              <w:pStyle w:val="Normal"/>
              <w:widowControl/>
              <w:ind w:start="420" w:end="0"/>
              <w:rPr>
                <w:b/>
              </w:rPr>
            </w:pPr>
            <w:r>
              <w:rPr>
                <w:b/>
              </w:rPr>
              <w:t xml:space="preserve">Expected Funding: </w:t>
            </w:r>
          </w:p>
        </w:tc>
        <w:tc>
          <w:tcPr>
            <w:tcW w:w="1421" w:type="dxa"/>
            <w:tcBorders/>
          </w:tcPr>
          <w:p>
            <w:pPr>
              <w:pStyle w:val="Normal"/>
              <w:widowControl/>
              <w:snapToGrid w:val="false"/>
              <w:jc w:val="end"/>
              <w:rPr>
                <w:b/>
              </w:rPr>
            </w:pPr>
            <w:r>
              <w:rPr>
                <w:b/>
              </w:rPr>
            </w:r>
          </w:p>
        </w:tc>
        <w:tc>
          <w:tcPr>
            <w:tcW w:w="586" w:type="dxa"/>
            <w:tcBorders/>
          </w:tcPr>
          <w:p>
            <w:pPr>
              <w:pStyle w:val="Normal"/>
              <w:widowControl/>
              <w:snapToGrid w:val="false"/>
              <w:rPr>
                <w:b/>
              </w:rPr>
            </w:pPr>
            <w:r>
              <w:rPr>
                <w:b/>
              </w:rPr>
            </w:r>
          </w:p>
        </w:tc>
        <w:tc>
          <w:tcPr>
            <w:tcW w:w="4063" w:type="dxa"/>
            <w:tcBorders/>
          </w:tcPr>
          <w:p>
            <w:pPr>
              <w:pStyle w:val="Heading3"/>
              <w:widowControl/>
              <w:ind w:end="-1098"/>
              <w:rPr/>
            </w:pPr>
            <w:r>
              <w:rPr/>
              <w:t>Expected IRR (%):</w:t>
            </w:r>
          </w:p>
          <w:p>
            <w:pPr>
              <w:pStyle w:val="Heading3"/>
              <w:widowControl/>
              <w:ind w:end="-1098"/>
              <w:rPr/>
            </w:pPr>
            <w:r>
              <w:rPr/>
              <w:t xml:space="preserve">Risk Free Rate (%):                                                                                                                    </w:t>
            </w:r>
          </w:p>
          <w:p>
            <w:pPr>
              <w:pStyle w:val="Heading3"/>
              <w:widowControl/>
              <w:rPr/>
            </w:pPr>
            <w:r>
              <w:rPr/>
              <w:t>Weighted Average Life (yrs.):</w:t>
            </w:r>
          </w:p>
        </w:tc>
        <w:tc>
          <w:tcPr>
            <w:tcW w:w="528" w:type="dxa"/>
            <w:tcBorders/>
          </w:tcPr>
          <w:p>
            <w:pPr>
              <w:pStyle w:val="Normal"/>
              <w:widowControl/>
              <w:jc w:val="end"/>
              <w:rPr>
                <w:b/>
              </w:rPr>
            </w:pPr>
            <w:r>
              <w:rPr>
                <w:b/>
              </w:rPr>
              <w:t>%</w:t>
            </w:r>
          </w:p>
          <w:p>
            <w:pPr>
              <w:pStyle w:val="Normal"/>
              <w:widowControl/>
              <w:jc w:val="end"/>
              <w:rPr>
                <w:b/>
              </w:rPr>
            </w:pPr>
            <w:r>
              <w:rPr>
                <w:b/>
              </w:rPr>
              <w:t>%</w:t>
            </w:r>
          </w:p>
          <w:p>
            <w:pPr>
              <w:pStyle w:val="Normal"/>
              <w:widowControl/>
              <w:jc w:val="end"/>
              <w:rPr>
                <w:b/>
              </w:rPr>
            </w:pPr>
            <w:r>
              <w:rPr>
                <w:b/>
              </w:rPr>
            </w:r>
          </w:p>
        </w:tc>
      </w:tr>
      <w:tr>
        <w:trPr/>
        <w:tc>
          <w:tcPr>
            <w:tcW w:w="3408" w:type="dxa"/>
            <w:tcBorders/>
          </w:tcPr>
          <w:p>
            <w:pPr>
              <w:pStyle w:val="Normal"/>
              <w:widowControl/>
              <w:ind w:start="420" w:end="0"/>
              <w:rPr>
                <w:b/>
              </w:rPr>
            </w:pPr>
            <w:r>
              <w:rPr>
                <w:b/>
              </w:rPr>
              <w:t>P5:</w:t>
            </w:r>
          </w:p>
        </w:tc>
        <w:tc>
          <w:tcPr>
            <w:tcW w:w="1421" w:type="dxa"/>
            <w:tcBorders/>
          </w:tcPr>
          <w:p>
            <w:pPr>
              <w:pStyle w:val="Normal"/>
              <w:widowControl/>
              <w:snapToGrid w:val="false"/>
              <w:jc w:val="end"/>
              <w:rPr>
                <w:b/>
              </w:rPr>
            </w:pPr>
            <w:r>
              <w:rPr>
                <w:b/>
              </w:rPr>
            </w:r>
          </w:p>
        </w:tc>
        <w:tc>
          <w:tcPr>
            <w:tcW w:w="586" w:type="dxa"/>
            <w:tcBorders/>
          </w:tcPr>
          <w:p>
            <w:pPr>
              <w:pStyle w:val="Normal"/>
              <w:widowControl/>
              <w:snapToGrid w:val="false"/>
              <w:rPr>
                <w:b/>
              </w:rPr>
            </w:pPr>
            <w:r>
              <w:rPr>
                <w:b/>
              </w:rPr>
            </w:r>
          </w:p>
        </w:tc>
        <w:tc>
          <w:tcPr>
            <w:tcW w:w="4063" w:type="dxa"/>
            <w:tcBorders/>
          </w:tcPr>
          <w:p>
            <w:pPr>
              <w:pStyle w:val="Heading3"/>
              <w:widowControl/>
              <w:rPr/>
            </w:pPr>
            <w:r>
              <w:rPr/>
              <w:t>Bid Bond Amount ($000):</w:t>
            </w:r>
          </w:p>
        </w:tc>
        <w:tc>
          <w:tcPr>
            <w:tcW w:w="528" w:type="dxa"/>
            <w:tcBorders/>
          </w:tcPr>
          <w:p>
            <w:pPr>
              <w:pStyle w:val="Normal"/>
              <w:widowControl/>
              <w:snapToGrid w:val="false"/>
              <w:jc w:val="end"/>
              <w:rPr>
                <w:b/>
              </w:rPr>
            </w:pPr>
            <w:r>
              <w:rPr>
                <w:b/>
              </w:rPr>
            </w:r>
          </w:p>
        </w:tc>
      </w:tr>
      <w:tr>
        <w:trPr/>
        <w:tc>
          <w:tcPr>
            <w:tcW w:w="3408" w:type="dxa"/>
            <w:tcBorders/>
          </w:tcPr>
          <w:p>
            <w:pPr>
              <w:pStyle w:val="Normal"/>
              <w:widowControl/>
              <w:snapToGrid w:val="false"/>
              <w:ind w:start="420" w:end="0"/>
              <w:rPr>
                <w:b/>
              </w:rPr>
            </w:pPr>
            <w:r>
              <w:rPr>
                <w:b/>
              </w:rPr>
            </w:r>
          </w:p>
        </w:tc>
        <w:tc>
          <w:tcPr>
            <w:tcW w:w="1421" w:type="dxa"/>
            <w:tcBorders/>
          </w:tcPr>
          <w:p>
            <w:pPr>
              <w:pStyle w:val="Normal"/>
              <w:widowControl/>
              <w:snapToGrid w:val="false"/>
              <w:jc w:val="end"/>
              <w:rPr>
                <w:b/>
              </w:rPr>
            </w:pPr>
            <w:r>
              <w:rPr>
                <w:b/>
              </w:rPr>
            </w:r>
          </w:p>
        </w:tc>
        <w:tc>
          <w:tcPr>
            <w:tcW w:w="586" w:type="dxa"/>
            <w:tcBorders/>
          </w:tcPr>
          <w:p>
            <w:pPr>
              <w:pStyle w:val="Normal"/>
              <w:widowControl/>
              <w:snapToGrid w:val="false"/>
              <w:rPr>
                <w:b/>
              </w:rPr>
            </w:pPr>
            <w:r>
              <w:rPr>
                <w:b/>
              </w:rPr>
            </w:r>
          </w:p>
        </w:tc>
        <w:tc>
          <w:tcPr>
            <w:tcW w:w="4063" w:type="dxa"/>
            <w:tcBorders/>
          </w:tcPr>
          <w:p>
            <w:pPr>
              <w:pStyle w:val="Normal"/>
              <w:widowControl/>
              <w:snapToGrid w:val="false"/>
              <w:rPr>
                <w:b/>
              </w:rPr>
            </w:pPr>
            <w:r>
              <w:rPr>
                <w:b/>
              </w:rPr>
            </w:r>
          </w:p>
        </w:tc>
        <w:tc>
          <w:tcPr>
            <w:tcW w:w="528" w:type="dxa"/>
            <w:tcBorders/>
          </w:tcPr>
          <w:p>
            <w:pPr>
              <w:pStyle w:val="Normal"/>
              <w:widowControl/>
              <w:snapToGrid w:val="false"/>
              <w:rPr>
                <w:b/>
              </w:rPr>
            </w:pPr>
            <w:r>
              <w:rPr>
                <w:b/>
              </w:rPr>
            </w:r>
          </w:p>
        </w:tc>
      </w:tr>
      <w:tr>
        <w:trPr/>
        <w:tc>
          <w:tcPr>
            <w:tcW w:w="3408" w:type="dxa"/>
            <w:tcBorders/>
          </w:tcPr>
          <w:p>
            <w:pPr>
              <w:pStyle w:val="Normal"/>
              <w:widowControl/>
              <w:snapToGrid w:val="false"/>
              <w:ind w:start="420" w:end="0"/>
              <w:rPr>
                <w:b/>
              </w:rPr>
            </w:pPr>
            <w:r>
              <w:rPr>
                <w:b/>
              </w:rPr>
            </w:r>
          </w:p>
        </w:tc>
        <w:tc>
          <w:tcPr>
            <w:tcW w:w="1421" w:type="dxa"/>
            <w:tcBorders/>
          </w:tcPr>
          <w:p>
            <w:pPr>
              <w:pStyle w:val="Normal"/>
              <w:widowControl/>
              <w:snapToGrid w:val="false"/>
              <w:jc w:val="end"/>
              <w:rPr>
                <w:b/>
              </w:rPr>
            </w:pPr>
            <w:r>
              <w:rPr>
                <w:b/>
              </w:rPr>
            </w:r>
          </w:p>
        </w:tc>
        <w:tc>
          <w:tcPr>
            <w:tcW w:w="586" w:type="dxa"/>
            <w:tcBorders/>
          </w:tcPr>
          <w:p>
            <w:pPr>
              <w:pStyle w:val="Normal"/>
              <w:widowControl/>
              <w:snapToGrid w:val="false"/>
              <w:rPr>
                <w:b/>
              </w:rPr>
            </w:pPr>
            <w:r>
              <w:rPr>
                <w:b/>
              </w:rPr>
            </w:r>
          </w:p>
        </w:tc>
        <w:tc>
          <w:tcPr>
            <w:tcW w:w="4063" w:type="dxa"/>
            <w:tcBorders>
              <w:top w:val="single" w:sz="6" w:space="0" w:color="000000"/>
              <w:start w:val="single" w:sz="6" w:space="0" w:color="000000"/>
              <w:bottom w:val="single" w:sz="6" w:space="0" w:color="000000"/>
            </w:tcBorders>
          </w:tcPr>
          <w:p>
            <w:pPr>
              <w:pStyle w:val="Normal"/>
              <w:widowControl/>
              <w:rPr>
                <w:b/>
              </w:rPr>
            </w:pPr>
            <w:r>
              <w:rPr>
                <w:b/>
              </w:rPr>
              <w:t>RAC CAPITAL PRICE:</w:t>
            </w:r>
          </w:p>
        </w:tc>
        <w:tc>
          <w:tcPr>
            <w:tcW w:w="528" w:type="dxa"/>
            <w:tcBorders>
              <w:top w:val="single" w:sz="6" w:space="0" w:color="000000"/>
              <w:bottom w:val="single" w:sz="6" w:space="0" w:color="000000"/>
              <w:end w:val="single" w:sz="6" w:space="0" w:color="000000"/>
            </w:tcBorders>
          </w:tcPr>
          <w:p>
            <w:pPr>
              <w:pStyle w:val="Normal"/>
              <w:widowControl/>
              <w:jc w:val="end"/>
              <w:rPr>
                <w:b/>
              </w:rPr>
            </w:pPr>
            <w:r>
              <w:rPr>
                <w:b/>
              </w:rPr>
              <w:t>%</w:t>
            </w:r>
          </w:p>
        </w:tc>
      </w:tr>
    </w:tbl>
    <w:p>
      <w:pPr>
        <w:pStyle w:val="Heading2"/>
        <w:ind w:hanging="0" w:start="0"/>
        <w:rPr>
          <w:i w:val="false"/>
          <w:i w:val="false"/>
          <w:lang w:val="en-CA"/>
        </w:rPr>
      </w:pPr>
      <w:r>
        <w:rPr>
          <w:i w:val="false"/>
          <w:lang w:val="en-CA"/>
        </w:rPr>
      </w:r>
      <w:r>
        <mc:AlternateContent>
          <mc:Choice Requires="wps">
            <w:drawing>
              <wp:anchor behindDoc="0" distT="0" distB="0" distL="0" distR="0" simplePos="0" locked="0" layoutInCell="0" allowOverlap="1" relativeHeight="2">
                <wp:simplePos x="0" y="0"/>
                <wp:positionH relativeFrom="page">
                  <wp:posOffset>640715</wp:posOffset>
                </wp:positionH>
                <wp:positionV relativeFrom="paragraph">
                  <wp:posOffset>294005</wp:posOffset>
                </wp:positionV>
                <wp:extent cx="6308090" cy="586740"/>
                <wp:effectExtent l="0" t="0" r="0" b="0"/>
                <wp:wrapTopAndBottom/>
                <wp:docPr id="1" name="Frame1"/>
                <a:graphic xmlns:a="http://schemas.openxmlformats.org/drawingml/2006/main">
                  <a:graphicData uri="http://schemas.microsoft.com/office/word/2010/wordprocessingShape">
                    <wps:wsp>
                      <wps:cNvSpPr txBox="1"/>
                      <wps:spPr>
                        <a:xfrm>
                          <a:off x="0" y="0"/>
                          <a:ext cx="6308090" cy="586740"/>
                        </a:xfrm>
                        <a:prstGeom prst="rect"/>
                        <a:solidFill>
                          <a:srgbClr val="FFFFFF">
                            <a:alpha val="0"/>
                          </a:srgbClr>
                        </a:solidFill>
                      </wps:spPr>
                      <wps:txbx>
                        <w:txbxContent>
                          <w:p>
                            <w:pPr>
                              <w:pStyle w:val="Heading7"/>
                              <w:ind w:hanging="0" w:start="0"/>
                              <w:rPr/>
                            </w:pPr>
                            <w:r>
                              <w:rPr/>
                              <w:t>EXISTING EXPOSURE:</w:t>
                            </w:r>
                          </w:p>
                          <w:p>
                            <w:pPr>
                              <w:pStyle w:val="Normal"/>
                              <w:rPr/>
                            </w:pPr>
                            <w:r>
                              <w:rPr/>
                              <w:t>If  transaction is with a counterparty with whom Enron has existing investments, indicate the total exposure by leg and any changes in value resulting from the contemplated transaction (e.g. dilution)</w:t>
                            </w:r>
                          </w:p>
                          <w:p>
                            <w:pPr>
                              <w:pStyle w:val="Normal"/>
                              <w:rPr/>
                            </w:pPr>
                            <w:r>
                              <w:rPr/>
                            </w:r>
                          </w:p>
                        </w:txbxContent>
                      </wps:txbx>
                      <wps:bodyPr anchor="t" lIns="0" tIns="0" rIns="0" bIns="0">
                        <a:noAutofit/>
                      </wps:bodyPr>
                    </wps:wsp>
                  </a:graphicData>
                </a:graphic>
              </wp:anchor>
            </w:drawing>
          </mc:Choice>
          <mc:Fallback>
            <w:pict>
              <v:rect fillcolor="#FFFFFF" style="position:absolute;rotation:-0;width:496.7pt;height:46.2pt;mso-wrap-distance-left:0pt;mso-wrap-distance-right:0pt;mso-wrap-distance-top:0pt;mso-wrap-distance-bottom:0pt;margin-top:23.15pt;mso-position-vertical-relative:text;margin-left:50.45pt;mso-position-horizontal-relative:page">
                <v:fill opacity="0f"/>
                <v:textbox inset="0in,0in,0in,0in">
                  <w:txbxContent>
                    <w:p>
                      <w:pPr>
                        <w:pStyle w:val="Heading7"/>
                        <w:ind w:hanging="0" w:start="0"/>
                        <w:rPr/>
                      </w:pPr>
                      <w:r>
                        <w:rPr/>
                        <w:t>EXISTING EXPOSURE:</w:t>
                      </w:r>
                    </w:p>
                    <w:p>
                      <w:pPr>
                        <w:pStyle w:val="Normal"/>
                        <w:rPr/>
                      </w:pPr>
                      <w:r>
                        <w:rPr/>
                        <w:t>If  transaction is with a counterparty with whom Enron has existing investments, indicate the total exposure by leg and any changes in value resulting from the contemplated transaction (e.g. dilution)</w:t>
                      </w:r>
                    </w:p>
                    <w:p>
                      <w:pPr>
                        <w:pStyle w:val="Normal"/>
                        <w:rPr/>
                      </w:pPr>
                      <w:r>
                        <w:rPr/>
                      </w:r>
                    </w:p>
                  </w:txbxContent>
                </v:textbox>
                <w10:wrap type="topAndBottom"/>
              </v:rect>
            </w:pict>
          </mc:Fallback>
        </mc:AlternateContent>
      </w:r>
      <w:r>
        <mc:AlternateContent>
          <mc:Choice Requires="wps">
            <w:drawing>
              <wp:anchor behindDoc="0" distT="0" distB="0" distL="114935" distR="114935" simplePos="0" locked="0" layoutInCell="1" allowOverlap="1" relativeHeight="4">
                <wp:simplePos x="0" y="0"/>
                <wp:positionH relativeFrom="column">
                  <wp:posOffset>2825115</wp:posOffset>
                </wp:positionH>
                <wp:positionV relativeFrom="paragraph">
                  <wp:posOffset>2439670</wp:posOffset>
                </wp:positionV>
                <wp:extent cx="294005" cy="201930"/>
                <wp:effectExtent l="0" t="0" r="0" b="0"/>
                <wp:wrapNone/>
                <wp:docPr id="2" name="Frame2"/>
                <a:graphic xmlns:a="http://schemas.openxmlformats.org/drawingml/2006/main">
                  <a:graphicData uri="http://schemas.microsoft.com/office/word/2010/wordprocessingShape">
                    <wps:wsp>
                      <wps:cNvSpPr txBox="1"/>
                      <wps:spPr>
                        <a:xfrm>
                          <a:off x="0" y="0"/>
                          <a:ext cx="294005" cy="201930"/>
                        </a:xfrm>
                        <a:prstGeom prst="rect"/>
                        <a:solidFill>
                          <a:srgbClr val="FFFFFF"/>
                        </a:solidFill>
                        <a:ln w="9525">
                          <a:solidFill>
                            <a:srgbClr val="000000"/>
                          </a:solidFill>
                        </a:ln>
                      </wps:spPr>
                      <wps:txbx>
                        <w:txbxContent>
                          <w:p>
                            <w:pPr>
                              <w:pStyle w:val="Normal"/>
                              <w:rPr/>
                            </w:pPr>
                            <w:r>
                              <w:rPr/>
                              <w:t>P95</w:t>
                            </w:r>
                          </w:p>
                        </w:txbxContent>
                      </wps:txbx>
                      <wps:bodyPr anchor="t" lIns="0" tIns="0" rIns="0" bIns="0">
                        <a:noAutofit/>
                      </wps:bodyPr>
                    </wps:wsp>
                  </a:graphicData>
                </a:graphic>
              </wp:anchor>
            </w:drawing>
          </mc:Choice>
          <mc:Fallback>
            <w:pict>
              <v:rect fillcolor="#FFFFFF" strokecolor="#000000" strokeweight="0pt" style="position:absolute;rotation:-0;width:23.15pt;height:15.9pt;mso-wrap-distance-left:9.05pt;mso-wrap-distance-right:9.05pt;mso-wrap-distance-top:0pt;mso-wrap-distance-bottom:0pt;margin-top:192.1pt;mso-position-vertical-relative:text;margin-left:222.45pt;mso-position-horizontal-relative:text">
                <v:textbox inset="0in,0in,0in,0in">
                  <w:txbxContent>
                    <w:p>
                      <w:pPr>
                        <w:pStyle w:val="Normal"/>
                        <w:rPr/>
                      </w:pPr>
                      <w:r>
                        <w:rPr/>
                        <w:t>P95</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1910715</wp:posOffset>
                </wp:positionH>
                <wp:positionV relativeFrom="paragraph">
                  <wp:posOffset>2721610</wp:posOffset>
                </wp:positionV>
                <wp:extent cx="659765" cy="191770"/>
                <wp:effectExtent l="0" t="0" r="0" b="0"/>
                <wp:wrapNone/>
                <wp:docPr id="3" name="Frame4"/>
                <a:graphic xmlns:a="http://schemas.openxmlformats.org/drawingml/2006/main">
                  <a:graphicData uri="http://schemas.microsoft.com/office/word/2010/wordprocessingShape">
                    <wps:wsp>
                      <wps:cNvSpPr txBox="1"/>
                      <wps:spPr>
                        <a:xfrm>
                          <a:off x="0" y="0"/>
                          <a:ext cx="659765" cy="191770"/>
                        </a:xfrm>
                        <a:prstGeom prst="rect"/>
                        <a:solidFill>
                          <a:srgbClr val="FFFFFF"/>
                        </a:solidFill>
                        <a:ln w="9525">
                          <a:solidFill>
                            <a:srgbClr val="000000"/>
                          </a:solidFill>
                        </a:ln>
                      </wps:spPr>
                      <wps:txbx>
                        <w:txbxContent>
                          <w:p>
                            <w:pPr>
                              <w:pStyle w:val="Normal"/>
                              <w:rPr/>
                            </w:pPr>
                            <w:r>
                              <w:rPr/>
                              <w:t>Expected</w:t>
                            </w:r>
                          </w:p>
                        </w:txbxContent>
                      </wps:txbx>
                      <wps:bodyPr anchor="t" lIns="0" tIns="0" rIns="0" bIns="0">
                        <a:noAutofit/>
                      </wps:bodyPr>
                    </wps:wsp>
                  </a:graphicData>
                </a:graphic>
              </wp:anchor>
            </w:drawing>
          </mc:Choice>
          <mc:Fallback>
            <w:pict>
              <v:rect fillcolor="#FFFFFF" strokecolor="#000000" strokeweight="0pt" style="position:absolute;rotation:-0;width:51.95pt;height:15.1pt;mso-wrap-distance-left:9.05pt;mso-wrap-distance-right:9.05pt;mso-wrap-distance-top:0pt;mso-wrap-distance-bottom:0pt;margin-top:214.3pt;mso-position-vertical-relative:text;margin-left:150.45pt;mso-position-horizontal-relative:text">
                <v:textbox inset="0in,0in,0in,0in">
                  <w:txbxContent>
                    <w:p>
                      <w:pPr>
                        <w:pStyle w:val="Normal"/>
                        <w:rPr/>
                      </w:pPr>
                      <w:r>
                        <w:rPr/>
                        <w:t>Expected</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813435</wp:posOffset>
                </wp:positionH>
                <wp:positionV relativeFrom="paragraph">
                  <wp:posOffset>2622550</wp:posOffset>
                </wp:positionV>
                <wp:extent cx="294005" cy="202565"/>
                <wp:effectExtent l="0" t="0" r="0" b="0"/>
                <wp:wrapNone/>
                <wp:docPr id="4" name="Frame3"/>
                <a:graphic xmlns:a="http://schemas.openxmlformats.org/drawingml/2006/main">
                  <a:graphicData uri="http://schemas.microsoft.com/office/word/2010/wordprocessingShape">
                    <wps:wsp>
                      <wps:cNvSpPr txBox="1"/>
                      <wps:spPr>
                        <a:xfrm>
                          <a:off x="0" y="0"/>
                          <a:ext cx="294005" cy="202565"/>
                        </a:xfrm>
                        <a:prstGeom prst="rect"/>
                        <a:solidFill>
                          <a:srgbClr val="FFFFFF"/>
                        </a:solidFill>
                        <a:ln w="9525">
                          <a:solidFill>
                            <a:srgbClr val="000000"/>
                          </a:solidFill>
                        </a:ln>
                      </wps:spPr>
                      <wps:txbx>
                        <w:txbxContent>
                          <w:p>
                            <w:pPr>
                              <w:pStyle w:val="Normal"/>
                              <w:rPr/>
                            </w:pPr>
                            <w:r>
                              <w:rPr/>
                              <w:t>P5</w:t>
                            </w:r>
                          </w:p>
                        </w:txbxContent>
                      </wps:txbx>
                      <wps:bodyPr anchor="t" lIns="0" tIns="0" rIns="0" bIns="0">
                        <a:noAutofit/>
                      </wps:bodyPr>
                    </wps:wsp>
                  </a:graphicData>
                </a:graphic>
              </wp:anchor>
            </w:drawing>
          </mc:Choice>
          <mc:Fallback>
            <w:pict>
              <v:rect fillcolor="#FFFFFF" strokecolor="#000000" strokeweight="0pt" style="position:absolute;rotation:-0;width:23.15pt;height:15.95pt;mso-wrap-distance-left:9.05pt;mso-wrap-distance-right:9.05pt;mso-wrap-distance-top:0pt;mso-wrap-distance-bottom:0pt;margin-top:206.5pt;mso-position-vertical-relative:text;margin-left:64.05pt;mso-position-horizontal-relative:text">
                <v:textbox inset="0in,0in,0in,0in">
                  <w:txbxContent>
                    <w:p>
                      <w:pPr>
                        <w:pStyle w:val="Normal"/>
                        <w:rPr/>
                      </w:pPr>
                      <w:r>
                        <w:rPr/>
                        <w:t>P5</w:t>
                      </w:r>
                    </w:p>
                  </w:txbxContent>
                </v:textbox>
                <w10:wrap type="none"/>
              </v:rect>
            </w:pict>
          </mc:Fallback>
        </mc:AlternateContent>
      </w:r>
    </w:p>
    <w:p>
      <w:pPr>
        <w:pStyle w:val="Normal"/>
        <w:widowControl/>
        <w:rPr>
          <w:i/>
          <w:i/>
        </w:rPr>
      </w:pPr>
      <w:r>
        <w:rPr>
          <w:i/>
        </w:rPr>
      </w:r>
    </w:p>
    <w:p>
      <w:pPr>
        <w:pStyle w:val="Normal"/>
        <w:rPr/>
      </w:pPr>
      <w:bookmarkStart w:id="1" w:name="_965112766"/>
      <w:bookmarkEnd w:id="1"/>
      <w:r>
        <w:rPr/>
        <w:object w:dxaOrig="8960" w:dyaOrig="435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88.75pt;height:229.15pt" filled="f" o:ole="">
            <v:imagedata r:id="rId3" o:title=""/>
          </v:shape>
          <o:OLEObject Type="Embed" ProgID="Excel.Sheet.12" ShapeID="ole_rId2" DrawAspect="Content" ObjectID="_194648957" r:id="rId2"/>
        </w:object>
      </w:r>
      <w:r>
        <w:br w:type="page"/>
      </w:r>
    </w:p>
    <w:p>
      <w:pPr>
        <w:pStyle w:val="Normal"/>
        <w:rPr/>
      </w:pPr>
      <w:r>
        <w:rPr/>
      </w:r>
    </w:p>
    <w:tbl>
      <w:tblPr>
        <w:tblW w:w="10482" w:type="dxa"/>
        <w:jc w:val="start"/>
        <w:tblInd w:w="-72" w:type="dxa"/>
        <w:tblLayout w:type="fixed"/>
        <w:tblCellMar>
          <w:top w:w="0" w:type="dxa"/>
          <w:start w:w="108" w:type="dxa"/>
          <w:bottom w:w="0" w:type="dxa"/>
          <w:end w:w="108" w:type="dxa"/>
        </w:tblCellMar>
      </w:tblPr>
      <w:tblGrid>
        <w:gridCol w:w="3330"/>
        <w:gridCol w:w="540"/>
        <w:gridCol w:w="3067"/>
        <w:gridCol w:w="3545"/>
      </w:tblGrid>
      <w:tr>
        <w:trPr/>
        <w:tc>
          <w:tcPr>
            <w:tcW w:w="3870" w:type="dxa"/>
            <w:gridSpan w:val="2"/>
            <w:tcBorders/>
          </w:tcPr>
          <w:p>
            <w:pPr>
              <w:pStyle w:val="Normal"/>
              <w:widowControl/>
              <w:snapToGrid w:val="false"/>
              <w:rPr>
                <w:b/>
              </w:rPr>
            </w:pPr>
            <w:r>
              <w:rPr>
                <w:b/>
              </w:rPr>
            </w:r>
          </w:p>
          <w:p>
            <w:pPr>
              <w:pStyle w:val="Normal"/>
              <w:widowControl/>
              <w:rPr>
                <w:b/>
              </w:rPr>
            </w:pPr>
            <w:r>
              <w:rPr>
                <w:b/>
              </w:rPr>
            </w:r>
          </w:p>
          <w:p>
            <w:pPr>
              <w:pStyle w:val="Normal"/>
              <w:widowControl/>
              <w:rPr>
                <w:b/>
              </w:rPr>
            </w:pPr>
            <w:r>
              <w:rPr>
                <w:b/>
              </w:rPr>
              <w:t>KEY ASSUMPTIONS/DISTRIBUTIONS</w:t>
            </w:r>
          </w:p>
        </w:tc>
        <w:tc>
          <w:tcPr>
            <w:tcW w:w="3067" w:type="dxa"/>
            <w:tcBorders/>
          </w:tcPr>
          <w:p>
            <w:pPr>
              <w:pStyle w:val="Normal"/>
              <w:widowControl/>
              <w:snapToGrid w:val="false"/>
              <w:jc w:val="both"/>
              <w:rPr/>
            </w:pPr>
            <w:r>
              <w:rPr/>
            </w:r>
          </w:p>
        </w:tc>
        <w:tc>
          <w:tcPr>
            <w:tcW w:w="3545" w:type="dxa"/>
            <w:tcBorders/>
          </w:tcPr>
          <w:p>
            <w:pPr>
              <w:pStyle w:val="Normal"/>
              <w:widowControl/>
              <w:snapToGrid w:val="false"/>
              <w:jc w:val="both"/>
              <w:rPr/>
            </w:pPr>
            <w:r>
              <w:rPr/>
            </w:r>
          </w:p>
        </w:tc>
      </w:tr>
      <w:tr>
        <w:trPr/>
        <w:tc>
          <w:tcPr>
            <w:tcW w:w="3330" w:type="dxa"/>
            <w:tcBorders>
              <w:top w:val="single" w:sz="12" w:space="0" w:color="000000"/>
              <w:start w:val="single" w:sz="18" w:space="0" w:color="000000"/>
              <w:bottom w:val="single" w:sz="12" w:space="0" w:color="000000"/>
              <w:end w:val="single" w:sz="12" w:space="0" w:color="000000"/>
            </w:tcBorders>
          </w:tcPr>
          <w:p>
            <w:pPr>
              <w:pStyle w:val="Normal"/>
              <w:widowControl/>
              <w:rPr>
                <w:b/>
              </w:rPr>
            </w:pPr>
            <w:r>
              <w:rPr>
                <w:b/>
              </w:rPr>
              <w:t xml:space="preserve">                    </w:t>
            </w:r>
            <w:r>
              <w:rPr>
                <w:b/>
              </w:rPr>
              <w:t>RISK</w:t>
            </w:r>
          </w:p>
        </w:tc>
        <w:tc>
          <w:tcPr>
            <w:tcW w:w="3607" w:type="dxa"/>
            <w:gridSpan w:val="2"/>
            <w:tcBorders>
              <w:top w:val="single" w:sz="12" w:space="0" w:color="000000"/>
              <w:start w:val="single" w:sz="12" w:space="0" w:color="000000"/>
              <w:bottom w:val="single" w:sz="12" w:space="0" w:color="000000"/>
              <w:end w:val="single" w:sz="12" w:space="0" w:color="000000"/>
            </w:tcBorders>
          </w:tcPr>
          <w:p>
            <w:pPr>
              <w:pStyle w:val="Normal"/>
              <w:widowControl/>
              <w:jc w:val="both"/>
              <w:rPr>
                <w:b/>
              </w:rPr>
            </w:pPr>
            <w:r>
              <w:rPr>
                <w:b/>
              </w:rPr>
              <w:t xml:space="preserve">             </w:t>
            </w:r>
            <w:r>
              <w:rPr>
                <w:b/>
              </w:rPr>
              <w:t>DESCRIPTION</w:t>
            </w:r>
          </w:p>
        </w:tc>
        <w:tc>
          <w:tcPr>
            <w:tcW w:w="3545" w:type="dxa"/>
            <w:tcBorders>
              <w:top w:val="single" w:sz="12" w:space="0" w:color="000000"/>
              <w:start w:val="single" w:sz="12" w:space="0" w:color="000000"/>
              <w:bottom w:val="single" w:sz="12" w:space="0" w:color="000000"/>
              <w:end w:val="single" w:sz="18" w:space="0" w:color="000000"/>
            </w:tcBorders>
          </w:tcPr>
          <w:p>
            <w:pPr>
              <w:pStyle w:val="Normal"/>
              <w:widowControl/>
              <w:jc w:val="both"/>
              <w:rPr>
                <w:b/>
              </w:rPr>
            </w:pPr>
            <w:r>
              <w:rPr>
                <w:b/>
              </w:rPr>
              <w:t xml:space="preserve">           </w:t>
            </w:r>
            <w:r>
              <w:rPr>
                <w:b/>
              </w:rPr>
              <w:t>MITIGATION/COMMENTS</w:t>
            </w:r>
          </w:p>
        </w:tc>
      </w:tr>
      <w:tr>
        <w:trPr/>
        <w:tc>
          <w:tcPr>
            <w:tcW w:w="3330" w:type="dxa"/>
            <w:tcBorders>
              <w:start w:val="single" w:sz="18" w:space="0" w:color="000000"/>
              <w:bottom w:val="single" w:sz="12" w:space="0" w:color="000000"/>
              <w:end w:val="single" w:sz="12" w:space="0" w:color="000000"/>
            </w:tcBorders>
          </w:tcPr>
          <w:p>
            <w:pPr>
              <w:pStyle w:val="Normal"/>
              <w:widowControl/>
              <w:rPr/>
            </w:pPr>
            <w:r>
              <w:rPr/>
              <w:t>Closing Risk</w:t>
            </w:r>
          </w:p>
        </w:tc>
        <w:tc>
          <w:tcPr>
            <w:tcW w:w="3607" w:type="dxa"/>
            <w:gridSpan w:val="2"/>
            <w:tcBorders>
              <w:start w:val="single" w:sz="12" w:space="0" w:color="000000"/>
              <w:bottom w:val="single" w:sz="12" w:space="0" w:color="000000"/>
              <w:end w:val="single" w:sz="12" w:space="0" w:color="000000"/>
            </w:tcBorders>
          </w:tcPr>
          <w:p>
            <w:pPr>
              <w:pStyle w:val="Normal"/>
              <w:widowControl/>
              <w:snapToGrid w:val="false"/>
              <w:jc w:val="both"/>
              <w:rPr/>
            </w:pPr>
            <w:r>
              <w:rPr/>
            </w:r>
          </w:p>
        </w:tc>
        <w:tc>
          <w:tcPr>
            <w:tcW w:w="3545" w:type="dxa"/>
            <w:tcBorders>
              <w:start w:val="single" w:sz="12" w:space="0" w:color="000000"/>
              <w:bottom w:val="single" w:sz="12" w:space="0" w:color="000000"/>
              <w:end w:val="single" w:sz="18" w:space="0" w:color="000000"/>
            </w:tcBorders>
          </w:tcPr>
          <w:p>
            <w:pPr>
              <w:pStyle w:val="Normal"/>
              <w:widowControl/>
              <w:snapToGrid w:val="false"/>
              <w:jc w:val="both"/>
              <w:rPr/>
            </w:pPr>
            <w:r>
              <w:rPr/>
            </w:r>
          </w:p>
        </w:tc>
      </w:tr>
      <w:tr>
        <w:trPr/>
        <w:tc>
          <w:tcPr>
            <w:tcW w:w="3330" w:type="dxa"/>
            <w:tcBorders>
              <w:top w:val="single" w:sz="12" w:space="0" w:color="000000"/>
              <w:start w:val="single" w:sz="18" w:space="0" w:color="000000"/>
              <w:bottom w:val="single" w:sz="12" w:space="0" w:color="000000"/>
              <w:end w:val="single" w:sz="12" w:space="0" w:color="000000"/>
            </w:tcBorders>
          </w:tcPr>
          <w:p>
            <w:pPr>
              <w:pStyle w:val="Normal"/>
              <w:widowControl/>
              <w:rPr/>
            </w:pPr>
            <w:r>
              <w:rPr/>
              <w:t xml:space="preserve">Interest Rate Risk </w:t>
            </w:r>
          </w:p>
        </w:tc>
        <w:tc>
          <w:tcPr>
            <w:tcW w:w="3607" w:type="dxa"/>
            <w:gridSpan w:val="2"/>
            <w:tcBorders>
              <w:top w:val="single" w:sz="12" w:space="0" w:color="000000"/>
              <w:start w:val="single" w:sz="12" w:space="0" w:color="000000"/>
              <w:bottom w:val="single" w:sz="12" w:space="0" w:color="000000"/>
              <w:end w:val="single" w:sz="12" w:space="0" w:color="000000"/>
            </w:tcBorders>
          </w:tcPr>
          <w:p>
            <w:pPr>
              <w:pStyle w:val="Normal"/>
              <w:widowControl/>
              <w:snapToGrid w:val="false"/>
              <w:jc w:val="both"/>
              <w:rPr/>
            </w:pPr>
            <w:r>
              <w:rPr/>
            </w:r>
          </w:p>
        </w:tc>
        <w:tc>
          <w:tcPr>
            <w:tcW w:w="3545" w:type="dxa"/>
            <w:tcBorders>
              <w:top w:val="single" w:sz="12" w:space="0" w:color="000000"/>
              <w:start w:val="single" w:sz="12" w:space="0" w:color="000000"/>
              <w:bottom w:val="single" w:sz="12" w:space="0" w:color="000000"/>
              <w:end w:val="single" w:sz="18" w:space="0" w:color="000000"/>
            </w:tcBorders>
          </w:tcPr>
          <w:p>
            <w:pPr>
              <w:pStyle w:val="Normal"/>
              <w:widowControl/>
              <w:snapToGrid w:val="false"/>
              <w:jc w:val="both"/>
              <w:rPr/>
            </w:pPr>
            <w:r>
              <w:rPr/>
            </w:r>
          </w:p>
        </w:tc>
      </w:tr>
      <w:tr>
        <w:trPr/>
        <w:tc>
          <w:tcPr>
            <w:tcW w:w="3330" w:type="dxa"/>
            <w:tcBorders>
              <w:top w:val="single" w:sz="12" w:space="0" w:color="000000"/>
              <w:start w:val="single" w:sz="18" w:space="0" w:color="000000"/>
              <w:bottom w:val="single" w:sz="12" w:space="0" w:color="000000"/>
              <w:end w:val="single" w:sz="12" w:space="0" w:color="000000"/>
            </w:tcBorders>
          </w:tcPr>
          <w:p>
            <w:pPr>
              <w:pStyle w:val="Normal"/>
              <w:widowControl/>
              <w:rPr/>
            </w:pPr>
            <w:r>
              <w:rPr/>
              <w:t>Technology Risk</w:t>
            </w:r>
          </w:p>
        </w:tc>
        <w:tc>
          <w:tcPr>
            <w:tcW w:w="3607" w:type="dxa"/>
            <w:gridSpan w:val="2"/>
            <w:tcBorders>
              <w:top w:val="single" w:sz="12" w:space="0" w:color="000000"/>
              <w:start w:val="single" w:sz="12" w:space="0" w:color="000000"/>
              <w:bottom w:val="single" w:sz="12" w:space="0" w:color="000000"/>
              <w:end w:val="single" w:sz="12" w:space="0" w:color="000000"/>
            </w:tcBorders>
          </w:tcPr>
          <w:p>
            <w:pPr>
              <w:pStyle w:val="Normal"/>
              <w:widowControl/>
              <w:snapToGrid w:val="false"/>
              <w:jc w:val="both"/>
              <w:rPr/>
            </w:pPr>
            <w:r>
              <w:rPr/>
            </w:r>
          </w:p>
        </w:tc>
        <w:tc>
          <w:tcPr>
            <w:tcW w:w="3545" w:type="dxa"/>
            <w:tcBorders>
              <w:top w:val="single" w:sz="12" w:space="0" w:color="000000"/>
              <w:start w:val="single" w:sz="12" w:space="0" w:color="000000"/>
              <w:bottom w:val="single" w:sz="12" w:space="0" w:color="000000"/>
              <w:end w:val="single" w:sz="18" w:space="0" w:color="000000"/>
            </w:tcBorders>
          </w:tcPr>
          <w:p>
            <w:pPr>
              <w:pStyle w:val="Normal"/>
              <w:widowControl/>
              <w:snapToGrid w:val="false"/>
              <w:jc w:val="both"/>
              <w:rPr/>
            </w:pPr>
            <w:r>
              <w:rPr/>
            </w:r>
          </w:p>
        </w:tc>
      </w:tr>
      <w:tr>
        <w:trPr/>
        <w:tc>
          <w:tcPr>
            <w:tcW w:w="3330" w:type="dxa"/>
            <w:tcBorders>
              <w:top w:val="single" w:sz="12" w:space="0" w:color="000000"/>
              <w:start w:val="single" w:sz="18" w:space="0" w:color="000000"/>
              <w:bottom w:val="single" w:sz="18" w:space="0" w:color="000000"/>
              <w:end w:val="single" w:sz="12" w:space="0" w:color="000000"/>
            </w:tcBorders>
          </w:tcPr>
          <w:p>
            <w:pPr>
              <w:pStyle w:val="Normal"/>
              <w:widowControl/>
              <w:rPr/>
            </w:pPr>
            <w:r>
              <w:rPr/>
              <w:t>Operating Expenses</w:t>
            </w:r>
          </w:p>
        </w:tc>
        <w:tc>
          <w:tcPr>
            <w:tcW w:w="3607" w:type="dxa"/>
            <w:gridSpan w:val="2"/>
            <w:tcBorders>
              <w:top w:val="single" w:sz="12" w:space="0" w:color="000000"/>
              <w:start w:val="single" w:sz="12" w:space="0" w:color="000000"/>
              <w:bottom w:val="single" w:sz="18" w:space="0" w:color="000000"/>
              <w:end w:val="single" w:sz="12" w:space="0" w:color="000000"/>
            </w:tcBorders>
          </w:tcPr>
          <w:p>
            <w:pPr>
              <w:pStyle w:val="Normal"/>
              <w:widowControl/>
              <w:snapToGrid w:val="false"/>
              <w:jc w:val="both"/>
              <w:rPr/>
            </w:pPr>
            <w:r>
              <w:rPr/>
            </w:r>
          </w:p>
        </w:tc>
        <w:tc>
          <w:tcPr>
            <w:tcW w:w="3545" w:type="dxa"/>
            <w:tcBorders>
              <w:top w:val="single" w:sz="12" w:space="0" w:color="000000"/>
              <w:start w:val="single" w:sz="12" w:space="0" w:color="000000"/>
              <w:bottom w:val="single" w:sz="18" w:space="0" w:color="000000"/>
              <w:end w:val="single" w:sz="18" w:space="0" w:color="000000"/>
            </w:tcBorders>
          </w:tcPr>
          <w:p>
            <w:pPr>
              <w:pStyle w:val="Normal"/>
              <w:widowControl/>
              <w:jc w:val="both"/>
              <w:rPr/>
            </w:pPr>
            <w:r>
              <w:rPr/>
              <w:t xml:space="preserve"> </w:t>
            </w:r>
          </w:p>
        </w:tc>
      </w:tr>
    </w:tbl>
    <w:p>
      <w:pPr>
        <w:pStyle w:val="Normal"/>
        <w:widowControl/>
        <w:rPr>
          <w:b/>
        </w:rPr>
      </w:pPr>
      <w:r>
        <w:rPr>
          <w:b/>
        </w:rPr>
      </w:r>
    </w:p>
    <w:p>
      <w:pPr>
        <w:pStyle w:val="Normal"/>
        <w:widowControl/>
        <w:rPr>
          <w:b/>
        </w:rPr>
      </w:pPr>
      <w:r>
        <w:rPr>
          <w:b/>
        </w:rPr>
      </w:r>
    </w:p>
    <w:p>
      <w:pPr>
        <w:pStyle w:val="Normal"/>
        <w:widowControl/>
        <w:rPr>
          <w:b/>
        </w:rPr>
      </w:pPr>
      <w:r>
        <w:rPr>
          <w:b/>
        </w:rPr>
        <w:t xml:space="preserve">OTHER RAC COMMENTS: </w:t>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tbl>
      <w:tblPr>
        <w:tblW w:w="9714" w:type="dxa"/>
        <w:jc w:val="start"/>
        <w:tblInd w:w="0" w:type="dxa"/>
        <w:tblLayout w:type="fixed"/>
        <w:tblCellMar>
          <w:top w:w="0" w:type="dxa"/>
          <w:start w:w="108" w:type="dxa"/>
          <w:bottom w:w="0" w:type="dxa"/>
          <w:end w:w="108" w:type="dxa"/>
        </w:tblCellMar>
      </w:tblPr>
      <w:tblGrid>
        <w:gridCol w:w="2448"/>
        <w:gridCol w:w="360"/>
        <w:gridCol w:w="2932"/>
        <w:gridCol w:w="354"/>
        <w:gridCol w:w="2541"/>
        <w:gridCol w:w="256"/>
        <w:gridCol w:w="823"/>
      </w:tblGrid>
      <w:tr>
        <w:trPr/>
        <w:tc>
          <w:tcPr>
            <w:tcW w:w="2448" w:type="dxa"/>
            <w:tcBorders/>
          </w:tcPr>
          <w:p>
            <w:pPr>
              <w:pStyle w:val="Normal"/>
              <w:keepNext w:val="true"/>
              <w:widowControl/>
              <w:rPr>
                <w:b/>
              </w:rPr>
            </w:pPr>
            <w:r>
              <w:rPr>
                <w:b/>
              </w:rPr>
              <w:t xml:space="preserve">      </w:t>
            </w:r>
            <w:r>
              <w:rPr>
                <w:b/>
              </w:rPr>
              <w:t>APPROVALS:</w:t>
            </w:r>
          </w:p>
        </w:tc>
        <w:tc>
          <w:tcPr>
            <w:tcW w:w="360" w:type="dxa"/>
            <w:tcBorders/>
          </w:tcPr>
          <w:p>
            <w:pPr>
              <w:pStyle w:val="Normal"/>
              <w:keepNext w:val="true"/>
              <w:widowControl/>
              <w:snapToGrid w:val="false"/>
              <w:rPr>
                <w:b/>
              </w:rPr>
            </w:pPr>
            <w:r>
              <w:rPr>
                <w:b/>
              </w:rPr>
            </w:r>
          </w:p>
        </w:tc>
        <w:tc>
          <w:tcPr>
            <w:tcW w:w="2932" w:type="dxa"/>
            <w:tcBorders/>
          </w:tcPr>
          <w:p>
            <w:pPr>
              <w:pStyle w:val="Normal"/>
              <w:keepNext w:val="true"/>
              <w:widowControl/>
              <w:jc w:val="center"/>
              <w:rPr>
                <w:b/>
              </w:rPr>
            </w:pPr>
            <w:r>
              <w:rPr>
                <w:b/>
              </w:rPr>
              <w:t>Name</w:t>
            </w:r>
          </w:p>
        </w:tc>
        <w:tc>
          <w:tcPr>
            <w:tcW w:w="354" w:type="dxa"/>
            <w:tcBorders/>
          </w:tcPr>
          <w:p>
            <w:pPr>
              <w:pStyle w:val="Normal"/>
              <w:keepNext w:val="true"/>
              <w:widowControl/>
              <w:snapToGrid w:val="false"/>
              <w:jc w:val="center"/>
              <w:rPr>
                <w:b/>
              </w:rPr>
            </w:pPr>
            <w:r>
              <w:rPr>
                <w:b/>
              </w:rPr>
            </w:r>
          </w:p>
        </w:tc>
        <w:tc>
          <w:tcPr>
            <w:tcW w:w="2541" w:type="dxa"/>
            <w:tcBorders/>
          </w:tcPr>
          <w:p>
            <w:pPr>
              <w:pStyle w:val="Normal"/>
              <w:keepNext w:val="true"/>
              <w:widowControl/>
              <w:jc w:val="center"/>
              <w:rPr>
                <w:b/>
              </w:rPr>
            </w:pPr>
            <w:r>
              <w:rPr>
                <w:b/>
              </w:rPr>
              <w:t>Signature</w:t>
            </w:r>
          </w:p>
        </w:tc>
        <w:tc>
          <w:tcPr>
            <w:tcW w:w="256" w:type="dxa"/>
            <w:tcBorders/>
          </w:tcPr>
          <w:p>
            <w:pPr>
              <w:pStyle w:val="Normal"/>
              <w:keepNext w:val="true"/>
              <w:widowControl/>
              <w:snapToGrid w:val="false"/>
              <w:jc w:val="center"/>
              <w:rPr>
                <w:b/>
              </w:rPr>
            </w:pPr>
            <w:r>
              <w:rPr>
                <w:b/>
              </w:rPr>
            </w:r>
          </w:p>
        </w:tc>
        <w:tc>
          <w:tcPr>
            <w:tcW w:w="823" w:type="dxa"/>
            <w:tcBorders/>
          </w:tcPr>
          <w:p>
            <w:pPr>
              <w:pStyle w:val="Normal"/>
              <w:keepNext w:val="true"/>
              <w:widowControl/>
              <w:jc w:val="center"/>
              <w:rPr>
                <w:b/>
              </w:rPr>
            </w:pPr>
            <w:r>
              <w:rPr>
                <w:b/>
              </w:rPr>
              <w:t>Date</w:t>
            </w:r>
          </w:p>
        </w:tc>
      </w:tr>
      <w:tr>
        <w:trPr/>
        <w:tc>
          <w:tcPr>
            <w:tcW w:w="2448" w:type="dxa"/>
            <w:tcBorders/>
          </w:tcPr>
          <w:p>
            <w:pPr>
              <w:pStyle w:val="Normal"/>
              <w:widowControl/>
              <w:snapToGrid w:val="false"/>
              <w:spacing w:before="120" w:after="0"/>
              <w:rPr>
                <w:b/>
              </w:rPr>
            </w:pPr>
            <w:r>
              <w:rPr>
                <w:b/>
              </w:rPr>
            </w:r>
          </w:p>
        </w:tc>
        <w:tc>
          <w:tcPr>
            <w:tcW w:w="360" w:type="dxa"/>
            <w:tcBorders/>
          </w:tcPr>
          <w:p>
            <w:pPr>
              <w:pStyle w:val="Normal"/>
              <w:widowControl/>
              <w:snapToGrid w:val="false"/>
              <w:spacing w:before="120" w:after="0"/>
              <w:rPr/>
            </w:pPr>
            <w:r>
              <w:rPr/>
            </w:r>
          </w:p>
        </w:tc>
        <w:tc>
          <w:tcPr>
            <w:tcW w:w="2932" w:type="dxa"/>
            <w:tcBorders/>
          </w:tcPr>
          <w:p>
            <w:pPr>
              <w:pStyle w:val="Normal"/>
              <w:widowControl/>
              <w:snapToGrid w:val="false"/>
              <w:spacing w:before="120" w:after="0"/>
              <w:rPr/>
            </w:pPr>
            <w:r>
              <w:rPr/>
            </w:r>
          </w:p>
        </w:tc>
        <w:tc>
          <w:tcPr>
            <w:tcW w:w="354" w:type="dxa"/>
            <w:tcBorders/>
          </w:tcPr>
          <w:p>
            <w:pPr>
              <w:pStyle w:val="Normal"/>
              <w:widowControl/>
              <w:snapToGrid w:val="false"/>
              <w:spacing w:before="120" w:after="0"/>
              <w:rPr/>
            </w:pPr>
            <w:r>
              <w:rPr/>
            </w:r>
          </w:p>
        </w:tc>
        <w:tc>
          <w:tcPr>
            <w:tcW w:w="2541" w:type="dxa"/>
            <w:tcBorders/>
          </w:tcPr>
          <w:p>
            <w:pPr>
              <w:pStyle w:val="Normal"/>
              <w:widowControl/>
              <w:snapToGrid w:val="false"/>
              <w:spacing w:before="120" w:after="0"/>
              <w:rPr/>
            </w:pPr>
            <w:r>
              <w:rPr/>
            </w:r>
          </w:p>
        </w:tc>
        <w:tc>
          <w:tcPr>
            <w:tcW w:w="256" w:type="dxa"/>
            <w:tcBorders/>
          </w:tcPr>
          <w:p>
            <w:pPr>
              <w:pStyle w:val="Normal"/>
              <w:widowControl/>
              <w:snapToGrid w:val="false"/>
              <w:spacing w:before="120" w:after="0"/>
              <w:rPr/>
            </w:pPr>
            <w:r>
              <w:rPr/>
            </w:r>
          </w:p>
        </w:tc>
        <w:tc>
          <w:tcPr>
            <w:tcW w:w="823" w:type="dxa"/>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RAC Management</w:t>
            </w:r>
          </w:p>
        </w:tc>
        <w:tc>
          <w:tcPr>
            <w:tcW w:w="360" w:type="dxa"/>
            <w:tcBorders/>
          </w:tcPr>
          <w:p>
            <w:pPr>
              <w:pStyle w:val="Normal"/>
              <w:widowControl/>
              <w:snapToGrid w:val="false"/>
              <w:spacing w:before="120" w:after="0"/>
              <w:rPr/>
            </w:pPr>
            <w:r>
              <w:rPr/>
            </w:r>
          </w:p>
        </w:tc>
        <w:tc>
          <w:tcPr>
            <w:tcW w:w="2932" w:type="dxa"/>
            <w:tcBorders>
              <w:bottom w:val="single" w:sz="6" w:space="0" w:color="000000"/>
            </w:tcBorders>
          </w:tcPr>
          <w:p>
            <w:pPr>
              <w:pStyle w:val="Normal"/>
              <w:widowControl/>
              <w:spacing w:before="120" w:after="0"/>
              <w:rPr/>
            </w:pPr>
            <w:r>
              <w:rPr/>
              <w:t>John Hopley</w:t>
            </w:r>
          </w:p>
        </w:tc>
        <w:tc>
          <w:tcPr>
            <w:tcW w:w="354" w:type="dxa"/>
            <w:tcBorders/>
          </w:tcPr>
          <w:p>
            <w:pPr>
              <w:pStyle w:val="Normal"/>
              <w:widowControl/>
              <w:snapToGrid w:val="false"/>
              <w:spacing w:before="120" w:after="0"/>
              <w:rPr/>
            </w:pPr>
            <w:r>
              <w:rPr/>
            </w:r>
          </w:p>
        </w:tc>
        <w:tc>
          <w:tcPr>
            <w:tcW w:w="2541" w:type="dxa"/>
            <w:tcBorders>
              <w:bottom w:val="single" w:sz="6" w:space="0" w:color="000000"/>
            </w:tcBorders>
          </w:tcPr>
          <w:p>
            <w:pPr>
              <w:pStyle w:val="Normal"/>
              <w:widowControl/>
              <w:snapToGrid w:val="false"/>
              <w:spacing w:before="120" w:after="0"/>
              <w:rPr/>
            </w:pPr>
            <w:r>
              <w:rPr/>
            </w:r>
          </w:p>
        </w:tc>
        <w:tc>
          <w:tcPr>
            <w:tcW w:w="256" w:type="dxa"/>
            <w:tcBorders/>
          </w:tcPr>
          <w:p>
            <w:pPr>
              <w:pStyle w:val="Normal"/>
              <w:widowControl/>
              <w:snapToGrid w:val="false"/>
              <w:spacing w:before="120" w:after="0"/>
              <w:rPr/>
            </w:pPr>
            <w:r>
              <w:rPr/>
            </w:r>
          </w:p>
        </w:tc>
        <w:tc>
          <w:tcPr>
            <w:tcW w:w="823" w:type="dxa"/>
            <w:tcBorders>
              <w:bottom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Enron Capital Management</w:t>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pacing w:before="120" w:after="0"/>
              <w:rPr/>
            </w:pPr>
            <w:r>
              <w:rPr/>
              <w:t>Andy Fastow</w:t>
            </w:r>
          </w:p>
        </w:tc>
        <w:tc>
          <w:tcPr>
            <w:tcW w:w="354" w:type="dxa"/>
            <w:tcBorders/>
          </w:tcPr>
          <w:p>
            <w:pPr>
              <w:pStyle w:val="Normal"/>
              <w:widowControl/>
              <w:snapToGrid w:val="false"/>
              <w:spacing w:before="120" w:after="0"/>
              <w:rPr/>
            </w:pPr>
            <w:r>
              <w:rPr/>
            </w:r>
          </w:p>
        </w:tc>
        <w:tc>
          <w:tcPr>
            <w:tcW w:w="2541" w:type="dxa"/>
            <w:tcBorders>
              <w:top w:val="single" w:sz="6" w:space="0" w:color="000000"/>
              <w:bottom w:val="single" w:sz="6" w:space="0" w:color="000000"/>
            </w:tcBorders>
          </w:tcPr>
          <w:p>
            <w:pPr>
              <w:pStyle w:val="Normal"/>
              <w:widowControl/>
              <w:snapToGrid w:val="false"/>
              <w:spacing w:before="120" w:after="0"/>
              <w:rPr/>
            </w:pPr>
            <w:r>
              <w:rPr/>
            </w:r>
          </w:p>
        </w:tc>
        <w:tc>
          <w:tcPr>
            <w:tcW w:w="256" w:type="dxa"/>
            <w:tcBorders/>
          </w:tcPr>
          <w:p>
            <w:pPr>
              <w:pStyle w:val="Normal"/>
              <w:widowControl/>
              <w:snapToGrid w:val="false"/>
              <w:spacing w:before="120" w:after="0"/>
              <w:rPr/>
            </w:pPr>
            <w:r>
              <w:rPr/>
            </w:r>
          </w:p>
        </w:tc>
        <w:tc>
          <w:tcPr>
            <w:tcW w:w="823" w:type="dxa"/>
            <w:tcBorders>
              <w:top w:val="single" w:sz="6" w:space="0" w:color="000000"/>
              <w:bottom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Business Unit Originator</w:t>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napToGrid w:val="false"/>
              <w:spacing w:before="120" w:after="0"/>
              <w:rPr/>
            </w:pPr>
            <w:r>
              <w:rPr/>
            </w:r>
          </w:p>
        </w:tc>
        <w:tc>
          <w:tcPr>
            <w:tcW w:w="354" w:type="dxa"/>
            <w:tcBorders/>
          </w:tcPr>
          <w:p>
            <w:pPr>
              <w:pStyle w:val="Normal"/>
              <w:widowControl/>
              <w:snapToGrid w:val="false"/>
              <w:spacing w:before="120" w:after="0"/>
              <w:rPr/>
            </w:pPr>
            <w:r>
              <w:rPr/>
            </w:r>
          </w:p>
        </w:tc>
        <w:tc>
          <w:tcPr>
            <w:tcW w:w="2541" w:type="dxa"/>
            <w:tcBorders>
              <w:top w:val="single" w:sz="6" w:space="0" w:color="000000"/>
              <w:bottom w:val="single" w:sz="6" w:space="0" w:color="000000"/>
            </w:tcBorders>
          </w:tcPr>
          <w:p>
            <w:pPr>
              <w:pStyle w:val="Normal"/>
              <w:widowControl/>
              <w:snapToGrid w:val="false"/>
              <w:spacing w:before="120" w:after="0"/>
              <w:rPr/>
            </w:pPr>
            <w:r>
              <w:rPr/>
            </w:r>
          </w:p>
        </w:tc>
        <w:tc>
          <w:tcPr>
            <w:tcW w:w="256" w:type="dxa"/>
            <w:tcBorders/>
          </w:tcPr>
          <w:p>
            <w:pPr>
              <w:pStyle w:val="Normal"/>
              <w:widowControl/>
              <w:snapToGrid w:val="false"/>
              <w:spacing w:before="120" w:after="0"/>
              <w:rPr/>
            </w:pPr>
            <w:r>
              <w:rPr/>
            </w:r>
          </w:p>
        </w:tc>
        <w:tc>
          <w:tcPr>
            <w:tcW w:w="823" w:type="dxa"/>
            <w:tcBorders>
              <w:top w:val="single" w:sz="6" w:space="0" w:color="000000"/>
              <w:bottom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Business Unit Legal</w:t>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napToGrid w:val="false"/>
              <w:spacing w:before="120" w:after="0"/>
              <w:rPr/>
            </w:pPr>
            <w:r>
              <w:rPr/>
            </w:r>
          </w:p>
        </w:tc>
        <w:tc>
          <w:tcPr>
            <w:tcW w:w="354" w:type="dxa"/>
            <w:tcBorders/>
          </w:tcPr>
          <w:p>
            <w:pPr>
              <w:pStyle w:val="Normal"/>
              <w:widowControl/>
              <w:snapToGrid w:val="false"/>
              <w:spacing w:before="120" w:after="0"/>
              <w:rPr/>
            </w:pPr>
            <w:r>
              <w:rPr/>
            </w:r>
          </w:p>
        </w:tc>
        <w:tc>
          <w:tcPr>
            <w:tcW w:w="2541" w:type="dxa"/>
            <w:tcBorders>
              <w:top w:val="single" w:sz="6" w:space="0" w:color="000000"/>
              <w:bottom w:val="single" w:sz="6" w:space="0" w:color="000000"/>
            </w:tcBorders>
          </w:tcPr>
          <w:p>
            <w:pPr>
              <w:pStyle w:val="Normal"/>
              <w:widowControl/>
              <w:snapToGrid w:val="false"/>
              <w:spacing w:before="120" w:after="0"/>
              <w:rPr/>
            </w:pPr>
            <w:r>
              <w:rPr/>
            </w:r>
          </w:p>
        </w:tc>
        <w:tc>
          <w:tcPr>
            <w:tcW w:w="256" w:type="dxa"/>
            <w:tcBorders/>
          </w:tcPr>
          <w:p>
            <w:pPr>
              <w:pStyle w:val="Normal"/>
              <w:widowControl/>
              <w:snapToGrid w:val="false"/>
              <w:spacing w:before="120" w:after="0"/>
              <w:rPr/>
            </w:pPr>
            <w:r>
              <w:rPr/>
            </w:r>
          </w:p>
        </w:tc>
        <w:tc>
          <w:tcPr>
            <w:tcW w:w="823" w:type="dxa"/>
            <w:tcBorders>
              <w:top w:val="single" w:sz="6" w:space="0" w:color="000000"/>
            </w:tcBorders>
          </w:tcPr>
          <w:p>
            <w:pPr>
              <w:pStyle w:val="Normal"/>
              <w:widowControl/>
              <w:spacing w:before="120" w:after="0"/>
              <w:ind w:start="-71" w:end="-222"/>
              <w:rPr/>
            </w:pPr>
            <w:r>
              <w:rPr/>
              <w:t>________</w:t>
            </w:r>
          </w:p>
        </w:tc>
      </w:tr>
      <w:tr>
        <w:trPr/>
        <w:tc>
          <w:tcPr>
            <w:tcW w:w="2448" w:type="dxa"/>
            <w:tcBorders/>
          </w:tcPr>
          <w:p>
            <w:pPr>
              <w:pStyle w:val="Normal"/>
              <w:widowControl/>
              <w:spacing w:before="120" w:after="0"/>
              <w:rPr/>
            </w:pPr>
            <w:r>
              <w:rPr/>
              <w:t>Business Unit Mgmt</w:t>
            </w:r>
          </w:p>
        </w:tc>
        <w:tc>
          <w:tcPr>
            <w:tcW w:w="360" w:type="dxa"/>
            <w:tcBorders/>
          </w:tcPr>
          <w:p>
            <w:pPr>
              <w:pStyle w:val="Normal"/>
              <w:widowControl/>
              <w:snapToGrid w:val="false"/>
              <w:spacing w:before="120" w:after="0"/>
              <w:rPr/>
            </w:pPr>
            <w:r>
              <w:rPr/>
            </w:r>
          </w:p>
        </w:tc>
        <w:tc>
          <w:tcPr>
            <w:tcW w:w="2932" w:type="dxa"/>
            <w:tcBorders>
              <w:top w:val="single" w:sz="6" w:space="0" w:color="000000"/>
            </w:tcBorders>
          </w:tcPr>
          <w:p>
            <w:pPr>
              <w:pStyle w:val="Normal"/>
              <w:widowControl/>
              <w:snapToGrid w:val="false"/>
              <w:spacing w:before="120" w:after="0"/>
              <w:rPr/>
            </w:pPr>
            <w:r>
              <w:rPr/>
            </w:r>
          </w:p>
        </w:tc>
        <w:tc>
          <w:tcPr>
            <w:tcW w:w="354" w:type="dxa"/>
            <w:tcBorders/>
          </w:tcPr>
          <w:p>
            <w:pPr>
              <w:pStyle w:val="Normal"/>
              <w:widowControl/>
              <w:snapToGrid w:val="false"/>
              <w:spacing w:before="120" w:after="0"/>
              <w:rPr/>
            </w:pPr>
            <w:r>
              <w:rPr/>
            </w:r>
          </w:p>
        </w:tc>
        <w:tc>
          <w:tcPr>
            <w:tcW w:w="2541" w:type="dxa"/>
            <w:tcBorders>
              <w:top w:val="single" w:sz="6" w:space="0" w:color="000000"/>
            </w:tcBorders>
          </w:tcPr>
          <w:p>
            <w:pPr>
              <w:pStyle w:val="Normal"/>
              <w:widowControl/>
              <w:snapToGrid w:val="false"/>
              <w:spacing w:before="120" w:after="0"/>
              <w:rPr/>
            </w:pPr>
            <w:r>
              <w:rPr/>
            </w:r>
          </w:p>
        </w:tc>
        <w:tc>
          <w:tcPr>
            <w:tcW w:w="256" w:type="dxa"/>
            <w:tcBorders/>
          </w:tcPr>
          <w:p>
            <w:pPr>
              <w:pStyle w:val="Normal"/>
              <w:widowControl/>
              <w:snapToGrid w:val="false"/>
              <w:spacing w:before="120" w:after="0"/>
              <w:rPr/>
            </w:pPr>
            <w:r>
              <w:rPr/>
            </w:r>
          </w:p>
        </w:tc>
        <w:tc>
          <w:tcPr>
            <w:tcW w:w="823" w:type="dxa"/>
            <w:tcBorders>
              <w:bottom w:val="single" w:sz="6" w:space="0" w:color="000000"/>
            </w:tcBorders>
          </w:tcPr>
          <w:p>
            <w:pPr>
              <w:pStyle w:val="Normal"/>
              <w:widowControl/>
              <w:snapToGrid w:val="false"/>
              <w:spacing w:before="120" w:after="0"/>
              <w:rPr/>
            </w:pPr>
            <w:r>
              <w:rPr/>
            </w:r>
          </w:p>
        </w:tc>
      </w:tr>
      <w:tr>
        <w:trPr/>
        <w:tc>
          <w:tcPr>
            <w:tcW w:w="2448" w:type="dxa"/>
            <w:tcBorders/>
          </w:tcPr>
          <w:p>
            <w:pPr>
              <w:pStyle w:val="Normal"/>
              <w:widowControl/>
              <w:spacing w:before="120" w:after="0"/>
              <w:rPr/>
            </w:pPr>
            <w:r>
              <w:rPr/>
              <w:t>ENE Management</w:t>
            </w:r>
          </w:p>
        </w:tc>
        <w:tc>
          <w:tcPr>
            <w:tcW w:w="360" w:type="dxa"/>
            <w:tcBorders/>
          </w:tcPr>
          <w:p>
            <w:pPr>
              <w:pStyle w:val="Normal"/>
              <w:widowControl/>
              <w:snapToGrid w:val="false"/>
              <w:spacing w:before="120" w:after="0"/>
              <w:rPr/>
            </w:pPr>
            <w:r>
              <w:rPr/>
            </w:r>
          </w:p>
        </w:tc>
        <w:tc>
          <w:tcPr>
            <w:tcW w:w="2932" w:type="dxa"/>
            <w:tcBorders>
              <w:top w:val="single" w:sz="6" w:space="0" w:color="000000"/>
              <w:bottom w:val="single" w:sz="6" w:space="0" w:color="000000"/>
            </w:tcBorders>
          </w:tcPr>
          <w:p>
            <w:pPr>
              <w:pStyle w:val="Normal"/>
              <w:widowControl/>
              <w:snapToGrid w:val="false"/>
              <w:spacing w:before="120" w:after="0"/>
              <w:rPr/>
            </w:pPr>
            <w:r>
              <w:rPr/>
            </w:r>
          </w:p>
        </w:tc>
        <w:tc>
          <w:tcPr>
            <w:tcW w:w="354" w:type="dxa"/>
            <w:tcBorders/>
          </w:tcPr>
          <w:p>
            <w:pPr>
              <w:pStyle w:val="Normal"/>
              <w:widowControl/>
              <w:snapToGrid w:val="false"/>
              <w:spacing w:before="120" w:after="0"/>
              <w:rPr/>
            </w:pPr>
            <w:r>
              <w:rPr/>
            </w:r>
          </w:p>
        </w:tc>
        <w:tc>
          <w:tcPr>
            <w:tcW w:w="2541" w:type="dxa"/>
            <w:tcBorders>
              <w:top w:val="single" w:sz="6" w:space="0" w:color="000000"/>
              <w:bottom w:val="single" w:sz="6" w:space="0" w:color="000000"/>
            </w:tcBorders>
          </w:tcPr>
          <w:p>
            <w:pPr>
              <w:pStyle w:val="Normal"/>
              <w:widowControl/>
              <w:snapToGrid w:val="false"/>
              <w:spacing w:before="120" w:after="0"/>
              <w:rPr/>
            </w:pPr>
            <w:r>
              <w:rPr/>
            </w:r>
          </w:p>
        </w:tc>
        <w:tc>
          <w:tcPr>
            <w:tcW w:w="256" w:type="dxa"/>
            <w:tcBorders/>
          </w:tcPr>
          <w:p>
            <w:pPr>
              <w:pStyle w:val="Normal"/>
              <w:widowControl/>
              <w:snapToGrid w:val="false"/>
              <w:spacing w:before="120" w:after="0"/>
              <w:rPr/>
            </w:pPr>
            <w:r>
              <w:rPr/>
            </w:r>
          </w:p>
        </w:tc>
        <w:tc>
          <w:tcPr>
            <w:tcW w:w="823" w:type="dxa"/>
            <w:tcBorders>
              <w:bottom w:val="single" w:sz="6" w:space="0" w:color="000000"/>
            </w:tcBorders>
          </w:tcPr>
          <w:p>
            <w:pPr>
              <w:pStyle w:val="Normal"/>
              <w:widowControl/>
              <w:snapToGrid w:val="false"/>
              <w:spacing w:before="120" w:after="0"/>
              <w:rPr/>
            </w:pPr>
            <w:r>
              <w:rPr/>
            </w:r>
          </w:p>
        </w:tc>
      </w:tr>
    </w:tbl>
    <w:p>
      <w:pPr>
        <w:pStyle w:val="Normal"/>
        <w:widowControl/>
        <w:rPr>
          <w:b/>
        </w:rPr>
      </w:pPr>
      <w:r>
        <w:rPr>
          <w:b/>
        </w:rPr>
      </w:r>
      <w:r>
        <w:br w:type="page"/>
      </w:r>
    </w:p>
    <w:p>
      <w:pPr>
        <w:pStyle w:val="Normal"/>
        <w:widowControl/>
        <w:rPr>
          <w:b/>
        </w:rPr>
      </w:pPr>
      <w:r>
        <w:rPr>
          <w:b/>
        </w:rPr>
      </w:r>
    </w:p>
    <w:p>
      <w:pPr>
        <w:pStyle w:val="Normal"/>
        <w:widowControl/>
        <w:jc w:val="center"/>
        <w:rPr>
          <w:b/>
          <w:sz w:val="32"/>
        </w:rPr>
      </w:pPr>
      <w:r>
        <w:rPr>
          <w:b/>
          <w:sz w:val="32"/>
        </w:rPr>
        <w:t>DEAL DEFINITIONS</w:t>
      </w:r>
    </w:p>
    <w:p>
      <w:pPr>
        <w:pStyle w:val="Normal"/>
        <w:widowControl/>
        <w:rPr>
          <w:b/>
          <w:sz w:val="32"/>
        </w:rPr>
      </w:pPr>
      <w:r>
        <w:rPr>
          <w:b/>
          <w:sz w:val="32"/>
        </w:rPr>
      </w:r>
    </w:p>
    <w:p>
      <w:pPr>
        <w:pStyle w:val="Normal"/>
        <w:widowControl/>
        <w:ind w:hanging="2880" w:start="2880" w:end="0"/>
        <w:rPr/>
      </w:pPr>
      <w:r>
        <w:rPr>
          <w:u w:val="single"/>
        </w:rPr>
        <w:t>Bid Bond</w:t>
      </w:r>
      <w:r>
        <w:rPr/>
        <w:tab/>
        <w:t>A letter of credit or surety bond delivered at the time of submission of a bid.  It guarantees that if the bidder is awarded the project that is the subject of the bid, the bidder will execute the relevant project documents in accordance with the terms of the bidder’s bid.</w:t>
      </w:r>
    </w:p>
    <w:p>
      <w:pPr>
        <w:pStyle w:val="Normal"/>
        <w:widowControl/>
        <w:ind w:hanging="2880" w:start="2880" w:end="0"/>
        <w:rPr/>
      </w:pPr>
      <w:r>
        <w:rPr/>
      </w:r>
    </w:p>
    <w:p>
      <w:pPr>
        <w:pStyle w:val="Normal"/>
        <w:widowControl/>
        <w:ind w:hanging="2880" w:start="2880" w:end="0"/>
        <w:rPr/>
      </w:pPr>
      <w:r>
        <w:rPr>
          <w:u w:val="single"/>
        </w:rPr>
        <w:t>Deal Description</w:t>
      </w:r>
      <w:r>
        <w:rPr/>
        <w:tab/>
        <w:t>short written summary of the investment.</w:t>
      </w:r>
    </w:p>
    <w:p>
      <w:pPr>
        <w:pStyle w:val="Normal"/>
        <w:widowControl/>
        <w:ind w:hanging="2880" w:start="2880" w:end="0"/>
        <w:rPr/>
      </w:pPr>
      <w:r>
        <w:rPr/>
      </w:r>
    </w:p>
    <w:p>
      <w:pPr>
        <w:pStyle w:val="Normal"/>
        <w:widowControl/>
        <w:ind w:hanging="2880" w:start="2880" w:end="0"/>
        <w:rPr/>
      </w:pPr>
      <w:r>
        <w:rPr>
          <w:u w:val="single"/>
        </w:rPr>
        <w:t>Deal Name</w:t>
      </w:r>
      <w:r>
        <w:rPr/>
        <w:tab/>
        <w:t>Unique name for an investment/deal usually defined by Capital Pricing director or Business Unit Originator.</w:t>
      </w:r>
    </w:p>
    <w:p>
      <w:pPr>
        <w:pStyle w:val="Normal"/>
        <w:widowControl/>
        <w:ind w:hanging="2880" w:start="2880" w:end="0"/>
        <w:rPr/>
      </w:pPr>
      <w:r>
        <w:rPr/>
      </w:r>
    </w:p>
    <w:p>
      <w:pPr>
        <w:pStyle w:val="Normal"/>
        <w:widowControl/>
        <w:ind w:hanging="2880" w:start="2880" w:end="0"/>
        <w:rPr/>
      </w:pPr>
      <w:r>
        <w:rPr>
          <w:u w:val="single"/>
        </w:rPr>
        <w:t>Deal Risk Premium (%)</w:t>
      </w:r>
      <w:r>
        <w:rPr/>
        <w:tab/>
        <w:t>Premium for a deal derived by a comparison of the transaction volatility of returns to historical sector volatility of returns; additionally incorporates any other adjustments for risks specific to the transaction.  Premium could be negative if the transaction exhibits less risk than is reflected in the unadjusted capital price.</w:t>
      </w:r>
    </w:p>
    <w:p>
      <w:pPr>
        <w:pStyle w:val="Normal"/>
        <w:widowControl/>
        <w:ind w:hanging="2880" w:start="2880" w:end="0"/>
        <w:rPr/>
      </w:pPr>
      <w:r>
        <w:rPr/>
      </w:r>
    </w:p>
    <w:p>
      <w:pPr>
        <w:pStyle w:val="Normal"/>
        <w:widowControl/>
        <w:ind w:hanging="2880" w:start="2880" w:end="0"/>
        <w:rPr/>
      </w:pPr>
      <w:r>
        <w:rPr>
          <w:u w:val="single"/>
        </w:rPr>
        <w:t>Capital Commitment ($M)</w:t>
      </w:r>
      <w:r>
        <w:rPr/>
        <w:tab/>
        <w:t>Expected present value of cash outflows in the transaction.</w:t>
      </w:r>
    </w:p>
    <w:p>
      <w:pPr>
        <w:pStyle w:val="Normal"/>
        <w:widowControl/>
        <w:ind w:hanging="2880" w:start="2880" w:end="0"/>
        <w:rPr/>
      </w:pPr>
      <w:r>
        <w:rPr/>
      </w:r>
    </w:p>
    <w:p>
      <w:pPr>
        <w:pStyle w:val="Normal"/>
        <w:widowControl/>
        <w:ind w:hanging="2880" w:start="2880" w:end="0"/>
        <w:rPr/>
      </w:pPr>
      <w:r>
        <w:rPr>
          <w:u w:val="single"/>
        </w:rPr>
        <w:t>Expected IRR (%)</w:t>
      </w:r>
      <w:r>
        <w:rPr/>
        <w:tab/>
        <w:t>the discount rate at which the net present value of the expected cash flows would be equal to zero.  This measures the expected return of the transaction but does not incorporate a measure of risk.</w:t>
      </w:r>
    </w:p>
    <w:p>
      <w:pPr>
        <w:pStyle w:val="Normal"/>
        <w:widowControl/>
        <w:ind w:hanging="2880" w:start="2880" w:end="0"/>
        <w:rPr/>
      </w:pPr>
      <w:r>
        <w:rPr/>
      </w:r>
    </w:p>
    <w:p>
      <w:pPr>
        <w:pStyle w:val="Normal"/>
        <w:widowControl/>
        <w:ind w:hanging="2880" w:start="2880" w:end="0"/>
        <w:rPr/>
      </w:pPr>
      <w:r>
        <w:rPr>
          <w:u w:val="single"/>
        </w:rPr>
        <w:t>NPV @ Capital Price ($M)</w:t>
      </w:r>
      <w:r>
        <w:rPr/>
        <w:tab/>
        <w:t>Net Present Value at the Capital Price discount rate.</w:t>
      </w:r>
    </w:p>
    <w:p>
      <w:pPr>
        <w:pStyle w:val="Normal"/>
        <w:widowControl/>
        <w:ind w:hanging="2880" w:start="2880" w:end="0"/>
        <w:rPr/>
      </w:pPr>
      <w:r>
        <w:rPr/>
      </w:r>
    </w:p>
    <w:p>
      <w:pPr>
        <w:pStyle w:val="Normal"/>
        <w:widowControl/>
        <w:ind w:hanging="2880" w:start="2880" w:end="0"/>
        <w:rPr/>
      </w:pPr>
      <w:r>
        <w:rPr>
          <w:u w:val="single"/>
        </w:rPr>
        <w:t>Risk-Free Rate (%)</w:t>
      </w:r>
      <w:r>
        <w:rPr/>
        <w:tab/>
        <w:t>the rate derived by weighting Treasury curve rates by the expected cash flows in the corresponding periods.</w:t>
      </w:r>
    </w:p>
    <w:p>
      <w:pPr>
        <w:pStyle w:val="Normal"/>
        <w:widowControl/>
        <w:ind w:hanging="2880" w:start="2880" w:end="0"/>
        <w:rPr/>
      </w:pPr>
      <w:r>
        <w:rPr/>
      </w:r>
    </w:p>
    <w:p>
      <w:pPr>
        <w:pStyle w:val="Normal"/>
        <w:widowControl/>
        <w:ind w:hanging="2880" w:start="2880" w:end="0"/>
        <w:rPr/>
      </w:pPr>
      <w:r>
        <w:rPr>
          <w:u w:val="single"/>
        </w:rPr>
        <w:t>Type of Investment</w:t>
      </w:r>
      <w:r>
        <w:rPr/>
        <w:tab/>
        <w:t>Specific type of investment.  For example, VPP, LP, loan, equity, alliance, debt, derivatives, refinance, and physical sales.  Sometimes referred to as Instrument Type.</w:t>
      </w:r>
    </w:p>
    <w:p>
      <w:pPr>
        <w:pStyle w:val="Normal"/>
        <w:widowControl/>
        <w:ind w:hanging="2880" w:start="2880" w:end="0"/>
        <w:rPr/>
      </w:pPr>
      <w:r>
        <w:rPr/>
      </w:r>
    </w:p>
    <w:p>
      <w:pPr>
        <w:pStyle w:val="Normal"/>
        <w:widowControl/>
        <w:ind w:hanging="2880" w:start="2880" w:end="0"/>
        <w:rPr/>
      </w:pPr>
      <w:r>
        <w:rPr>
          <w:u w:val="single"/>
        </w:rPr>
        <w:t>Value at Risk ($M)</w:t>
      </w:r>
      <w:r>
        <w:rPr/>
        <w:tab/>
        <w:t>The loss in value over a specified period of time (quarterly, daily, etc.) which will be exceeded with a certain probability.  Evaluated based on market comparables.</w:t>
      </w:r>
    </w:p>
    <w:p>
      <w:pPr>
        <w:pStyle w:val="Normal"/>
        <w:widowControl/>
        <w:ind w:hanging="2880" w:start="2880" w:end="0"/>
        <w:rPr/>
      </w:pPr>
      <w:r>
        <w:rPr/>
      </w:r>
    </w:p>
    <w:p>
      <w:pPr>
        <w:pStyle w:val="Normal"/>
        <w:widowControl/>
        <w:ind w:hanging="2880" w:start="2880" w:end="0"/>
        <w:rPr/>
      </w:pPr>
      <w:r>
        <w:rPr/>
      </w:r>
    </w:p>
    <w:sectPr>
      <w:headerReference w:type="default" r:id="rId4"/>
      <w:headerReference w:type="first" r:id="rId5"/>
      <w:footerReference w:type="default" r:id="rId6"/>
      <w:footerReference w:type="first" r:id="rId7"/>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/mnt/main-storage/datasets/enron-docs/doc/Revolver_Dash.doc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w:t>
    </w:r>
  </w:p>
  <w:p>
    <w:pPr>
      <w:pStyle w:val="Header"/>
      <w:widowControl/>
      <w:tabs>
        <w:tab w:val="clear" w:pos="4320"/>
        <w:tab w:val="clear" w:pos="8640"/>
        <w:tab w:val="right" w:pos="7920" w:leader="none"/>
      </w:tabs>
      <w:rPr>
        <w:b/>
      </w:rPr>
    </w:pPr>
    <w:r>
      <w:rPr>
        <w:b/>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ind w:hanging="0" w:start="0" w:end="-1196"/>
      <w:outlineLvl w:val="2"/>
    </w:pPr>
    <w:rPr>
      <w:b/>
    </w:rPr>
  </w:style>
  <w:style w:type="paragraph" w:styleId="Heading4">
    <w:name w:val="heading 4"/>
    <w:basedOn w:val="Normal"/>
    <w:next w:val="Normal"/>
    <w:qFormat/>
    <w:pPr>
      <w:keepNext w:val="true"/>
      <w:numPr>
        <w:ilvl w:val="3"/>
        <w:numId w:val="1"/>
      </w:numPr>
      <w:ind w:hanging="0" w:start="420" w:end="0"/>
      <w:outlineLvl w:val="3"/>
    </w:pPr>
    <w:rPr>
      <w:b/>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ind w:hanging="0" w:start="36" w:end="36"/>
      <w:outlineLvl w:val="5"/>
    </w:pPr>
    <w:rPr>
      <w:b/>
      <w:sz w:val="16"/>
    </w:rPr>
  </w:style>
  <w:style w:type="paragraph" w:styleId="Heading7">
    <w:name w:val="heading 7"/>
    <w:basedOn w:val="Normal"/>
    <w:next w:val="Normal"/>
    <w:qFormat/>
    <w:pPr>
      <w:keepNext w:val="true"/>
      <w:numPr>
        <w:ilvl w:val="6"/>
        <w:numId w:val="1"/>
      </w:numPr>
      <w:outlineLvl w:val="6"/>
    </w:pPr>
    <w:rPr>
      <w:b/>
      <w:i/>
    </w:rPr>
  </w:style>
  <w:style w:type="paragraph" w:styleId="Heading8">
    <w:name w:val="heading 8"/>
    <w:basedOn w:val="Normal"/>
    <w:next w:val="Normal"/>
    <w:qFormat/>
    <w:pPr>
      <w:keepNext w:val="true"/>
      <w:widowControl/>
      <w:numPr>
        <w:ilvl w:val="7"/>
        <w:numId w:val="1"/>
      </w:numPr>
      <w:outlineLvl w:val="7"/>
    </w:pPr>
    <w:rPr>
      <w:u w:val="singl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2000-08-08T10:55:00Z</dcterms:created>
  <dc:creator>gpenman</dc:creator>
  <dc:description/>
  <dc:language>en-CA</dc:language>
  <cp:lastModifiedBy>gpenman</cp:lastModifiedBy>
  <cp:lastPrinted>1998-09-16T16:12:00Z</cp:lastPrinted>
  <dcterms:modified xsi:type="dcterms:W3CDTF">2000-08-08T15:57:00Z</dcterms:modified>
  <cp:revision>10</cp:revision>
  <dc:subject/>
  <dc:title>ENRON CAPITAL MANAGEMENT </dc:title>
</cp:coreProperties>
</file>