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G Times" w:hAnsi="CG Times" w:cs="CG Times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-1280160</wp:posOffset>
                </wp:positionH>
                <wp:positionV relativeFrom="paragraph">
                  <wp:posOffset>-301625</wp:posOffset>
                </wp:positionV>
                <wp:extent cx="91440" cy="9144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100.8pt;margin-top:-23.75pt;width:7.15pt;height:7.15pt;mso-wrap-style:none;v-text-anchor:middle">
                <v:fill o:detectmouseclick="t" type="solid" color2="black"/>
                <v:stroke color="white" weight="9360" joinstyle="miter" endcap="flat"/>
                <w10:wrap type="none"/>
              </v:rect>
            </w:pict>
          </mc:Fallback>
        </mc:AlternateContent>
      </w:r>
      <w:r>
        <w:rPr>
          <w:rFonts w:cs="CG Times" w:ascii="CG Times" w:hAnsi="CG Times"/>
          <w:u w:val="single"/>
        </w:rPr>
        <w:t>Revisions to Draft Senate Bill of May 5, 2000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Section 1a(12).  </w:t>
      </w:r>
      <w:r>
        <w:rPr>
          <w:rFonts w:cs="CG Times" w:ascii="CG Times" w:hAnsi="CG Times"/>
          <w:u w:val="single"/>
        </w:rPr>
        <w:t>Excluded Commodity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ab/>
        <w:t>Go back to April 21, 2000 definition in (13)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Section 5. </w:t>
      </w:r>
      <w:r>
        <w:rPr>
          <w:rFonts w:cs="CG Times" w:ascii="CG Times" w:hAnsi="CG Times"/>
          <w:u w:val="single"/>
        </w:rPr>
        <w:t>Legal Certainty for Excluded Derivative Transactions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Add to (d)(3) Exception to Prevent Manipulation – </w:t>
      </w:r>
    </w:p>
    <w:p>
      <w:pPr>
        <w:pStyle w:val="Normal"/>
        <w:ind w:start="720" w:end="0"/>
        <w:jc w:val="both"/>
        <w:rPr/>
      </w:pPr>
      <w:r>
        <w:rPr>
          <w:rFonts w:cs="CG Times" w:ascii="CG Times" w:hAnsi="CG Times"/>
        </w:rPr>
        <w:t xml:space="preserve">Notwithstanding paragraph (1), any agreement, contract, or transaction in an excluded commodity </w:t>
      </w:r>
      <w:r>
        <w:rPr>
          <w:rFonts w:cs="CG Times" w:ascii="CG Times" w:hAnsi="CG Times"/>
          <w:u w:val="single"/>
        </w:rPr>
        <w:t>as described in section 1a(12)(D)</w:t>
      </w:r>
      <w:r>
        <w:rPr>
          <w:rFonts w:cs="CG Times" w:ascii="CG Times" w:hAnsi="CG Times"/>
        </w:rPr>
        <w:t xml:space="preserve"> – 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Section 1a(13).  </w:t>
      </w:r>
      <w:r>
        <w:rPr>
          <w:rFonts w:cs="CG Times" w:ascii="CG Times" w:hAnsi="CG Times"/>
          <w:u w:val="single"/>
        </w:rPr>
        <w:t>Excluded Electronic Trading Facility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ab/>
        <w:t>Revise (B) to add at the end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ab/>
        <w:t>. . . other than an excluded commodity described in section 1a(12)(D)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Section 1a(33).  </w:t>
      </w:r>
      <w:r>
        <w:rPr>
          <w:rFonts w:cs="CG Times" w:ascii="CG Times" w:hAnsi="CG Times"/>
          <w:u w:val="single"/>
        </w:rPr>
        <w:t>Trading Facility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ab/>
        <w:t>Revise (B) to address [credit screens/filters]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Section 12.  </w:t>
      </w:r>
      <w:r>
        <w:rPr>
          <w:rFonts w:cs="CG Times" w:ascii="CG Times" w:hAnsi="CG Times"/>
          <w:u w:val="single"/>
        </w:rPr>
        <w:t>Derivatives Transaction Execution Facilities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ab/>
        <w:t>Revise (b)(2) Requirements for Underlying Commodities to add:</w:t>
      </w:r>
    </w:p>
    <w:p>
      <w:pPr>
        <w:pStyle w:val="Normal"/>
        <w:ind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>(E) with respect to an excluded commodity as described in section 1a(12)(D) trading on a trading facility, where the agreement, contract or transaction is entered into on a principal-to-principal basis between parties trading for their own accounts, where such parties are eligible contract participants at the time at which they entered into the agreement, contract or transaction.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Revise (c) Criteria for Registration by adding </w:t>
      </w:r>
    </w:p>
    <w:p>
      <w:pPr>
        <w:pStyle w:val="Normal"/>
        <w:ind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>(4) Financial Integrity of Transactions – Except with respect to underlying commodities described in section 12(b)(2)(E),  . . .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Revise (d) Core Principles to add at the end of (1) </w:t>
      </w:r>
    </w:p>
    <w:p>
      <w:pPr>
        <w:pStyle w:val="Normal"/>
        <w:ind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>. . . to the extent applicable to the trading facility.</w:t>
      </w:r>
    </w:p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sectPr>
      <w:type w:val="nextPage"/>
      <w:pgSz w:w="12240" w:h="15840"/>
      <w:pgMar w:left="1440" w:right="1440" w:gutter="0" w:header="0" w:top="191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ourier" w:hAnsi="Courier" w:cs="Courier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spacing w:before="120" w:after="120"/>
    </w:pPr>
    <w:rPr>
      <w:rFonts w:ascii="Times New Roman" w:hAnsi="Times New Roman" w:cs="Times New Roman"/>
      <w:b/>
      <w:caps/>
      <w:sz w:val="20"/>
    </w:rPr>
  </w:style>
  <w:style w:type="paragraph" w:styleId="TOC2">
    <w:name w:val="toc 2"/>
    <w:basedOn w:val="Normal"/>
    <w:next w:val="Normal"/>
    <w:pPr>
      <w:ind w:hanging="0" w:start="240" w:end="0"/>
    </w:pPr>
    <w:rPr>
      <w:rFonts w:ascii="Times New Roman" w:hAnsi="Times New Roman" w:cs="Times New Roman"/>
      <w:smallCaps/>
      <w:sz w:val="20"/>
    </w:rPr>
  </w:style>
  <w:style w:type="paragraph" w:styleId="TOC3">
    <w:name w:val="toc 3"/>
    <w:basedOn w:val="Normal"/>
    <w:next w:val="Normal"/>
    <w:pPr>
      <w:ind w:hanging="0" w:start="480" w:end="0"/>
    </w:pPr>
    <w:rPr>
      <w:rFonts w:ascii="Times New Roman" w:hAnsi="Times New Roman" w:cs="Times New Roman"/>
      <w:i/>
      <w:sz w:val="20"/>
    </w:rPr>
  </w:style>
  <w:style w:type="paragraph" w:styleId="TOC4">
    <w:name w:val="toc 4"/>
    <w:basedOn w:val="Normal"/>
    <w:next w:val="Normal"/>
    <w:pPr>
      <w:ind w:hanging="0" w:start="720" w:end="0"/>
    </w:pPr>
    <w:rPr>
      <w:rFonts w:ascii="Times New Roman" w:hAnsi="Times New Roman" w:cs="Times New Roman"/>
      <w:sz w:val="18"/>
    </w:rPr>
  </w:style>
  <w:style w:type="paragraph" w:styleId="TOC5">
    <w:name w:val="toc 5"/>
    <w:basedOn w:val="Normal"/>
    <w:next w:val="Normal"/>
    <w:pPr>
      <w:ind w:hanging="0" w:start="960" w:end="0"/>
    </w:pPr>
    <w:rPr>
      <w:rFonts w:ascii="Times New Roman" w:hAnsi="Times New Roman" w:cs="Times New Roman"/>
      <w:sz w:val="18"/>
    </w:rPr>
  </w:style>
  <w:style w:type="paragraph" w:styleId="TOC6">
    <w:name w:val="toc 6"/>
    <w:basedOn w:val="Normal"/>
    <w:next w:val="Normal"/>
    <w:pPr>
      <w:ind w:hanging="0" w:start="1200" w:end="0"/>
    </w:pPr>
    <w:rPr>
      <w:rFonts w:ascii="Times New Roman" w:hAnsi="Times New Roman" w:cs="Times New Roman"/>
      <w:sz w:val="18"/>
    </w:rPr>
  </w:style>
  <w:style w:type="paragraph" w:styleId="TOC7">
    <w:name w:val="toc 7"/>
    <w:basedOn w:val="Normal"/>
    <w:next w:val="Normal"/>
    <w:pPr>
      <w:ind w:hanging="0" w:start="1440" w:end="0"/>
    </w:pPr>
    <w:rPr>
      <w:rFonts w:ascii="Times New Roman" w:hAnsi="Times New Roman" w:cs="Times New Roman"/>
      <w:sz w:val="18"/>
    </w:rPr>
  </w:style>
  <w:style w:type="paragraph" w:styleId="TOC8">
    <w:name w:val="toc 8"/>
    <w:basedOn w:val="Normal"/>
    <w:next w:val="Normal"/>
    <w:pPr>
      <w:ind w:hanging="0" w:start="1680" w:end="0"/>
    </w:pPr>
    <w:rPr>
      <w:rFonts w:ascii="Times New Roman" w:hAnsi="Times New Roman" w:cs="Times New Roman"/>
      <w:sz w:val="18"/>
    </w:rPr>
  </w:style>
  <w:style w:type="paragraph" w:styleId="TOC9">
    <w:name w:val="toc 9"/>
    <w:basedOn w:val="Normal"/>
    <w:next w:val="Normal"/>
    <w:pPr>
      <w:ind w:hanging="0" w:start="1920" w:end="0"/>
    </w:pPr>
    <w:rPr>
      <w:rFonts w:ascii="Times New Roman" w:hAnsi="Times New Roman" w:cs="Times New Roman"/>
      <w:sz w:val="18"/>
    </w:rPr>
  </w:style>
  <w:style w:type="paragraph" w:styleId="FootnoteText">
    <w:name w:val="footnote text"/>
    <w:basedOn w:val="Normal"/>
    <w:pPr>
      <w:spacing w:before="24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2000-05-22T13:40:00Z</dcterms:created>
  <dc:creator>For Help Call PC Support, x 4277</dc:creator>
  <dc:description/>
  <dc:language>en-CA</dc:language>
  <cp:lastModifiedBy>For Help Call PC Support, x 4277</cp:lastModifiedBy>
  <cp:lastPrinted>2000-05-22T10:35:00Z</cp:lastPrinted>
  <dcterms:modified xsi:type="dcterms:W3CDTF">2000-05-22T13:40:00Z</dcterms:modified>
  <cp:revision>2</cp:revision>
  <dc:subject/>
  <dc:title>test</dc:title>
</cp:coreProperties>
</file>