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80"/>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17145</wp:posOffset>
                </wp:positionH>
                <wp:positionV relativeFrom="paragraph">
                  <wp:posOffset>13335</wp:posOffset>
                </wp:positionV>
                <wp:extent cx="6400800" cy="0"/>
                <wp:effectExtent l="0" t="0" r="0" b="0"/>
                <wp:wrapNone/>
                <wp:docPr id="1" name=""/>
                <a:graphic xmlns:a="http://schemas.openxmlformats.org/drawingml/2006/main">
                  <a:graphicData uri="http://schemas.microsoft.com/office/word/2010/wordprocessingShape">
                    <wps:wsp>
                      <wps:cNvSpPr/>
                      <wps:spPr>
                        <a:xfrm>
                          <a:off x="0" y="0"/>
                          <a:ext cx="6400800" cy="0"/>
                        </a:xfrm>
                        <a:prstGeom prst="line">
                          <a:avLst/>
                        </a:prstGeom>
                        <a:ln w="0">
                          <a:noFill/>
                        </a:ln>
                      </wps:spPr>
                      <wps:style>
                        <a:lnRef idx="0"/>
                        <a:fillRef idx="0"/>
                        <a:effectRef idx="0"/>
                        <a:fontRef idx="minor"/>
                      </wps:style>
                      <wps:bodyPr/>
                    </wps:wsp>
                  </a:graphicData>
                </a:graphic>
              </wp:anchor>
            </w:drawing>
          </mc:Choice>
          <mc:Fallback>
            <w:pict>
              <v:line id="shape_0" from="1.35pt,1.05pt" to="505.3pt,1.05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17145</wp:posOffset>
                </wp:positionH>
                <wp:positionV relativeFrom="paragraph">
                  <wp:posOffset>104775</wp:posOffset>
                </wp:positionV>
                <wp:extent cx="2743200" cy="0"/>
                <wp:effectExtent l="0" t="0" r="0" b="0"/>
                <wp:wrapNone/>
                <wp:docPr id="2" name=""/>
                <a:graphic xmlns:a="http://schemas.openxmlformats.org/drawingml/2006/main">
                  <a:graphicData uri="http://schemas.microsoft.com/office/word/2010/wordprocessingShape">
                    <wps:wsp>
                      <wps:cNvSpPr/>
                      <wps:spPr>
                        <a:xfrm>
                          <a:off x="0" y="0"/>
                          <a:ext cx="2743200" cy="0"/>
                        </a:xfrm>
                        <a:prstGeom prst="line">
                          <a:avLst/>
                        </a:prstGeom>
                        <a:ln w="0">
                          <a:noFill/>
                        </a:ln>
                      </wps:spPr>
                      <wps:style>
                        <a:lnRef idx="0"/>
                        <a:fillRef idx="0"/>
                        <a:effectRef idx="0"/>
                        <a:fontRef idx="minor"/>
                      </wps:style>
                      <wps:bodyPr/>
                    </wps:wsp>
                  </a:graphicData>
                </a:graphic>
              </wp:anchor>
            </w:drawing>
          </mc:Choice>
          <mc:Fallback>
            <w:pict>
              <v:line id="shape_0" from="1.35pt,8.25pt" to="217.3pt,8.25pt" stroked="f" o:allowincell="f" style="position:absolute">
                <v:stroke color="#3465a4" joinstyle="round" endcap="flat"/>
                <v:fill o:detectmouseclick="t" on="false"/>
                <w10:wrap type="none"/>
              </v:line>
            </w:pict>
          </mc:Fallback>
        </mc:AlternateContent>
      </w:r>
      <w:bookmarkStart w:id="0" w:name="a10To"/>
      <w:bookmarkStart w:id="1" w:name="a10To"/>
      <w:bookmarkEnd w:id="1"/>
    </w:p>
    <w:p>
      <w:pPr>
        <w:pStyle w:val="85"/>
        <w:rPr/>
      </w:pPr>
      <w:r>
        <w:rPr/>
        <w:t>26 October 2000</w:t>
      </w:r>
    </w:p>
    <w:p>
      <w:pPr>
        <w:pStyle w:val="Heading2"/>
        <w:ind w:hanging="0" w:start="0"/>
        <w:rPr>
          <w:b w:val="false"/>
        </w:rPr>
      </w:pPr>
      <w:r>
        <w:rPr>
          <w:b w:val="false"/>
        </w:rPr>
        <w:t>Private &amp; Confidential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ECT Merchant Investments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Houston, Texas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USA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Subject"/>
        <w:keepNext w:val="false"/>
        <w:keepLines w:val="false"/>
        <w:tabs>
          <w:tab w:val="clear" w:pos="720"/>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 xml:space="preserve">Attention: </w:t>
        <w:tab/>
        <w:t>Mr. Raymond M. Bowen Jr.</w:t>
      </w:r>
    </w:p>
    <w:p>
      <w:pPr>
        <w:pStyle w:val="Normal"/>
        <w:tabs>
          <w:tab w:val="clear" w:pos="720"/>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tab/>
        <w:t>Managing Director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Dear Raymond: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Subject"/>
        <w:keepNext w:val="false"/>
        <w:keepLines w:val="false"/>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 xml:space="preserve">Subject: </w:t>
        <w:tab/>
        <w:t>Cameron Strategic Planning Ltd. ( “Cameron”), and</w:t>
      </w:r>
    </w:p>
    <w:p>
      <w:pPr>
        <w:pStyle w:val="Subject"/>
        <w:keepNext w:val="false"/>
        <w:keepLines w:val="false"/>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498494 B.C. Ltd. (“498494”)</w:t>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Subject"/>
        <w:keepNext w:val="false"/>
        <w:keepLines w:val="false"/>
        <w:numPr>
          <w:ilvl w:val="0"/>
          <w:numId w:val="2"/>
        </w:numPr>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Introduction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09" w:end="0"/>
        <w:rPr/>
      </w:pPr>
      <w:r>
        <w:rPr/>
        <w:t>By letter agreement dated August 14, 2000, ECT Merchant Investments Corp. (“ECTMI” or “you”) agreed to indemnify PricewaterhouseCoopers Inc. (“PwCI”) in connection with PwCI’s appointment as the trustee in bankruptcy of Kafus Industries Ltd. (“Kafus”), on the terms and conditions set out in that letter, which terms and conditions were subsequently discussed and clarified by representatives of ECTMI and PwCI (“The August 14, 2000 Engagement”).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Following their appointment, the inspectors of the estate of Kafus, Messrs. R. Petersen and R. Sanders of ECTMI and Mr. R. Bullock of Berkeley Investments Inc., requested that PwCI cause Cameron, which is a wholly owned subsidiary of Kafus, and 498494, which in turn is a wholly owned subsidiary of Cameron, to make assignments in bankruptcy and to cause itself to be appointed as the trustee of both Cameron and 498494.  PwCI agreed to do this, and both Cameron and 498494 have now made assignments in bankruptcy, and PwCI has been appointed as the trustee of the estate of both entities.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The August 14, 2000 Engagement did not contemplate PwCI acting as trustee of Cameron or 498494.  Therefore, we wish to confirm the terms under which we have agreed to accept the appointments as trustee of the estates of Cameron and 498494.  We also wish to clarify the terms of the August 14, 2000 Engagement, to reflect the substance of our subsequent discussions.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numPr>
          <w:ilvl w:val="0"/>
          <w:numId w:val="2"/>
        </w:numPr>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t>Indemnity</w:t>
      </w:r>
    </w:p>
    <w:p>
      <w:pPr>
        <w:pStyle w:val="Normal"/>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As you know, each of our appointments as trustee of the estates of Kafus, Cameron and 498494 has been made by the Supreme Court of British Columbia.  In each case, we act as an officer of the Court and our primary duty is to the Court and to the general body of creditors of those entities.  As part of our duties as trustee, we must make a full investigation of the affairs of each bankrupt entity and report the results thereof to the creditors (including Kafus, in the case of Cameron and 498494) and to the Court.</w:t>
      </w:r>
    </w:p>
    <w:p>
      <w:pPr>
        <w:pStyle w:val="Normal"/>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r>
    </w:p>
    <w:p>
      <w:pPr>
        <w:pStyle w:val="Normal"/>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In connection with our role as trustee, we will charge fees in the manner described below.  Any net amounts that we recover from any realization of the assets of the estates of 498494, Cameron and Kafus, respectively, will go to pay our fees, and any surplus will be refunded to the creditors of those entities after payment of our fees.</w:t>
      </w:r>
    </w:p>
    <w:p>
      <w:pPr>
        <w:pStyle w:val="Normal"/>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r>
    </w:p>
    <w:p>
      <w:pPr>
        <w:pStyle w:val="Normal"/>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Notwithstanding the foregoing, we confirm that you have agreed to indemnify PwCI for its reasonable fees and expenses, including legal fees, incurred in carrying out such of its duties and functions as trustee of the estates of 498494, Cameron and Kafus, respectively, as may be required by statute or as are or have been specifically authorized by the Inspectors of the respective Estates or ECTMI, and in rendering such services as are reasonably necessary to carry out those duties and functions (the “Services”).</w:t>
      </w:r>
    </w:p>
    <w:p>
      <w:pPr>
        <w:pStyle w:val="Normal"/>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r>
    </w:p>
    <w:p>
      <w:pPr>
        <w:pStyle w:val="Normal"/>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t>With respect to the estate of Kafus, we confirm that you advised us, and we accepted, that you would not indemnify PwCI for any expenses incurred in connection with efforts to realize upon, or collect, any debts owing by The CanFibre Group limited, or any of its subsidiary companies, to Kafus, or otherwise to take proceedings as set out in your counsel’s letter to us dated September 8, 2000 (the “CanFibre proceedings”).  We confirm that we subsequently advised you that PwCI would not pursue the CanFibre proceedings (because it does not perceive any value in those proceedings) and that the inspectors of Kafus approved this course of action.</w:t>
      </w:r>
    </w:p>
    <w:p>
      <w:pPr>
        <w:pStyle w:val="Normal"/>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r>
    </w:p>
    <w:p>
      <w:pPr>
        <w:pStyle w:val="Normal"/>
        <w:numPr>
          <w:ilvl w:val="0"/>
          <w:numId w:val="2"/>
        </w:numPr>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t>Fees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start="709" w:end="0"/>
        <w:rPr/>
      </w:pPr>
      <w:r>
        <w:rPr/>
        <w:t>Our fees are based on the hours actually incurred by each staff member and the normal hourly billing rate for that individual.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start="709"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start="709" w:end="0"/>
        <w:rPr/>
      </w:pPr>
      <w:r>
        <w:rPr/>
        <w:t xml:space="preserve">In addition to the fees outlined above, GST and out-of-pocket expenses will be charged and may comprise airfares, meals and hotel accommodation. In lieu of routine administrative expenses such as long distance telephone calls, faxes, courier, postage and photocopies, we will charge a flat rate of $2 for each hour of chargeable time spent on this engagement.  </w:t>
      </w:r>
    </w:p>
    <w:p>
      <w:pPr>
        <w:pStyle w:val="Heading3"/>
        <w:ind w:hanging="0" w:start="709" w:end="0"/>
        <w:rPr/>
      </w:pPr>
      <w:r>
        <w:rPr/>
        <w:t>We confirm having advised you that our fees and expenses must be taxed by the Court and are normally paid out of the available assets of the bankrupt’s estate. However, it may be that assets will not be sufficient, or readily available, to pay such fees and expenses. In any case, it will likely be some time before we will be in a position to draw any amounts against our fees and expenses.</w:t>
      </w:r>
    </w:p>
    <w:p>
      <w:pPr>
        <w:pStyle w:val="Heading3"/>
        <w:ind w:hanging="0" w:start="709" w:end="0"/>
        <w:rPr/>
      </w:pPr>
      <w:r>
        <w:rPr/>
        <w:t>Accordingly, we will submit to you from time to time billings showing details of our fees and expenses incurred to that date.  We will render separate accounts for each of the estates of Kafus, Cameron and 498494, respectively.  You will pay us forthwith the amount of each such billing as an interim draw against our fees and expenses. Whatever amounts are recovered in due course from the from the estates of 498494, Cameron and Kafus, respectively, will be credited against our billings in relation to our role as trustee of each of those estates, respectively.  You have agreed to indemnify us for any deficiency between the amounts recovered from the estates of 498494, Cameron and Kafus, respectively, and the amount of our fees in respect of the Services we render to each of those estates, respectively.</w:t>
      </w:r>
    </w:p>
    <w:p>
      <w:pPr>
        <w:pStyle w:val="Heading3"/>
        <w:ind w:hanging="0" w:start="709" w:end="0"/>
        <w:rPr/>
      </w:pPr>
      <w:r>
        <w:rPr/>
        <w:t>To the extent that we have already billed you for the Services, in accordance with the foregoing, and we subsequently recover money from any of the bankrupt estates that would otherwise go to pay our fees and expenses, we will refund that money to you, up to the amount of our fees and expenses that you have already paid.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i/>
          <w:i/>
        </w:rPr>
      </w:pPr>
      <w:r>
        <w:rPr>
          <w:i/>
        </w:rPr>
      </w:r>
    </w:p>
    <w:p>
      <w:pPr>
        <w:pStyle w:val="Normal"/>
        <w:numPr>
          <w:ilvl w:val="0"/>
          <w:numId w:val="2"/>
        </w:numPr>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t>Terms and Conditions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hanging="709" w:start="709" w:end="0"/>
        <w:rPr>
          <w:b/>
        </w:rPr>
      </w:pPr>
      <w:r>
        <w:rPr>
          <w:b/>
        </w:rPr>
      </w:r>
    </w:p>
    <w:p>
      <w:pPr>
        <w:pStyle w:val="BodyTextInden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t>The attached terms and conditions set out the duties of each party in respect of the Services. The terms and conditions provide that, amongst other things, you will indemnify us against claims brought by any third party and that our aggregate liability to you whether in contract, tort or otherwise will be limited. The limit will be a maximum amount paid by you in respect of the Services.</w:t>
      </w:r>
    </w:p>
    <w:p>
      <w:pPr>
        <w:pStyle w:val="BodyTextInden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i/>
          <w:i/>
        </w:rPr>
      </w:pPr>
      <w:r>
        <w:rPr/>
        <w:t>This letter and the terms and conditions attached comprise the entire contract (“the Contract”) for the provision of the Services to the exclusion of any other express or implied term, whether expressed orally or in writing, including any conditions, warranties and representations and shall supersede all previous letters of engagement, undertakings, agreements and correspondence regarding the Services, and upon execution of this Contract the August 14, 2000 Engagement shall terminate.</w:t>
      </w:r>
    </w:p>
    <w:p>
      <w:pPr>
        <w:pStyle w:val="Normal"/>
        <w:numPr>
          <w:ilvl w:val="0"/>
          <w:numId w:val="2"/>
        </w:numPr>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t>Governing Law and Jurisdiction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hanging="709" w:start="709" w:end="0"/>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hanging="709" w:start="709" w:end="0"/>
        <w:rPr/>
      </w:pPr>
      <w:r>
        <w:rPr>
          <w:b/>
        </w:rPr>
        <w:tab/>
      </w:r>
      <w:r>
        <w:rPr/>
        <w:t>The Contract shall be governed by and interpreted in accordance with the laws of Canada and British Columbia. The Courts of Canada shall have jurisdiction in relation to any claim, dispute or difference concerning the Contract and any matter arising from it.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hanging="709" w:start="709" w:end="0"/>
        <w:rPr/>
      </w:pPr>
      <w:r>
        <w:rPr/>
      </w:r>
    </w:p>
    <w:p>
      <w:pPr>
        <w:pStyle w:val="Normal"/>
        <w:numPr>
          <w:ilvl w:val="0"/>
          <w:numId w:val="2"/>
        </w:numPr>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rPr>
      </w:pPr>
      <w:r>
        <w:rPr>
          <w:b/>
        </w:rPr>
        <w:t>Acknowledgement and Acceptance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ind w:start="709" w:end="0"/>
        <w:rPr/>
      </w:pPr>
      <w:r>
        <w:rPr/>
        <w:t>Please acknowledge your acceptance of the terms of our engagement under the Contract by signing the confirmation below and returning a copy of this letter and a copy of the attached terms and conditions to us at the above address.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t>If you have any questions regarding this letter or the attached terms and conditions, please do not hesitate to contact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b/>
        </w:rPr>
      </w:pPr>
      <w:r>
        <w:rPr/>
        <w:t>Yours very truly,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b/>
        </w:rPr>
        <w:t>PricewaterhouseCoopers Inc.</w:t>
      </w:r>
      <w:r>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u w:val="single"/>
        </w:rPr>
      </w:pPr>
      <w:r>
        <w:rPr>
          <w:u w:val="single"/>
        </w:rPr>
        <w:t>Confirmation of Terms of Engagement</w:t>
      </w:r>
    </w:p>
    <w:p>
      <w:pPr>
        <w:pStyle w:val="Heade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b/>
        </w:rPr>
        <w:t>Having read both the above letter of engagement from PricewaterhouseCoopers Inc. and the Terms and Conditions attached thereto, we agree to nominate PricewaterhouseCoopers Inc. as Interim Receiver and/or Trustee of the Company upon the terms set out therein</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t>Signed:  _____________________________________________</w:t>
      </w:r>
      <w:r>
        <w:rPr>
          <w:u w:val="single"/>
        </w:rPr>
        <w:t xml:space="preserve">                                                             </w:t>
      </w:r>
      <w:r>
        <w:rPr/>
        <w:t xml:space="preserve"> </w:t>
      </w:r>
      <w:r>
        <w:rPr>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tab/>
        <w:tab/>
        <w:t>Raymond M. Bowen Jr.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t>Position:  _____________________________________________</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tab/>
        <w:tab/>
        <w:t>Managing Director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t>On behalf of ECT Merchant Investments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rPr/>
      </w:pPr>
      <w:r>
        <w:rPr/>
        <w:t>Date:</w:t>
        <w:tab/>
        <w:t>_____________________________________________</w:t>
      </w:r>
    </w:p>
    <w:p>
      <w:pPr>
        <w:pStyle w:val="Normal"/>
        <w:rPr/>
      </w:pPr>
      <w:r>
        <w:rPr/>
        <w:t xml:space="preserve"> </w:t>
      </w:r>
    </w:p>
    <w:p>
      <w:pPr>
        <w:pStyle w:val="Normal"/>
        <w:rPr/>
      </w:pPr>
      <w:r>
        <w:rPr/>
      </w:r>
    </w:p>
    <w:p>
      <w:pPr>
        <w:pStyle w:val="Normal"/>
        <w:suppressAutoHyphens w:val="true"/>
        <w:rPr/>
      </w:pPr>
      <w:r>
        <w:rPr/>
      </w:r>
    </w:p>
    <w:p>
      <w:pPr>
        <w:pStyle w:val="Normal"/>
        <w:suppressAutoHyphens w:val="true"/>
        <w:rPr/>
      </w:pPr>
      <w:r>
        <w:rPr/>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50239924.1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spacing w:before="240" w:after="60"/>
      <w:outlineLvl w:val="0"/>
    </w:pPr>
    <w:rPr>
      <w:b/>
      <w:kern w:val="2"/>
      <w:sz w:val="28"/>
    </w:rPr>
  </w:style>
  <w:style w:type="paragraph" w:styleId="Heading2">
    <w:name w:val="heading 2"/>
    <w:basedOn w:val="Normal"/>
    <w:next w:val="BodyText"/>
    <w:qFormat/>
    <w:pPr>
      <w:keepNext w:val="true"/>
      <w:numPr>
        <w:ilvl w:val="1"/>
        <w:numId w:val="1"/>
      </w:numPr>
      <w:spacing w:before="240" w:after="60"/>
      <w:outlineLvl w:val="1"/>
    </w:pPr>
    <w:rPr>
      <w:b/>
      <w:i/>
    </w:rPr>
  </w:style>
  <w:style w:type="paragraph" w:styleId="Heading3">
    <w:name w:val="heading 3"/>
    <w:basedOn w:val="Normal"/>
    <w:next w:val="BodyText"/>
    <w:qFormat/>
    <w:pPr>
      <w:numPr>
        <w:ilvl w:val="2"/>
        <w:numId w:val="1"/>
      </w:numPr>
      <w:spacing w:before="240" w:after="60"/>
      <w:outlineLvl w:val="2"/>
    </w:pPr>
    <w:rPr/>
  </w:style>
  <w:style w:type="paragraph" w:styleId="Heading4">
    <w:name w:val="heading 4"/>
    <w:basedOn w:val="Normal"/>
    <w:next w:val="BodyText"/>
    <w:qFormat/>
    <w:pPr>
      <w:numPr>
        <w:ilvl w:val="3"/>
        <w:numId w:val="1"/>
      </w:numPr>
      <w:spacing w:before="240" w:after="60"/>
      <w:outlineLvl w:val="3"/>
    </w:pPr>
    <w:rPr>
      <w:b/>
    </w:rPr>
  </w:style>
  <w:style w:type="paragraph" w:styleId="Heading5">
    <w:name w:val="heading 5"/>
    <w:basedOn w:val="Normal"/>
    <w:next w:val="BodyText"/>
    <w:qFormat/>
    <w:pPr>
      <w:numPr>
        <w:ilvl w:val="4"/>
        <w:numId w:val="1"/>
      </w:numPr>
      <w:spacing w:before="240" w:after="60"/>
      <w:outlineLvl w:val="4"/>
    </w:pPr>
    <w:rPr>
      <w:sz w:val="22"/>
    </w:rPr>
  </w:style>
  <w:style w:type="paragraph" w:styleId="Heading6">
    <w:name w:val="heading 6"/>
    <w:basedOn w:val="Normal"/>
    <w:next w:val="BodyText"/>
    <w:qFormat/>
    <w:pPr>
      <w:numPr>
        <w:ilvl w:val="5"/>
        <w:numId w:val="1"/>
      </w:numPr>
      <w:spacing w:before="240" w:after="60"/>
      <w:outlineLvl w:val="5"/>
    </w:pPr>
    <w:rPr>
      <w:i/>
      <w:sz w:val="22"/>
    </w:rPr>
  </w:style>
  <w:style w:type="paragraph" w:styleId="Heading7">
    <w:name w:val="heading 7"/>
    <w:basedOn w:val="Normal"/>
    <w:next w:val="BodyText"/>
    <w:qFormat/>
    <w:pPr>
      <w:numPr>
        <w:ilvl w:val="6"/>
        <w:numId w:val="1"/>
      </w:numPr>
      <w:spacing w:before="240" w:after="60"/>
      <w:outlineLvl w:val="6"/>
    </w:pPr>
    <w:rPr/>
  </w:style>
  <w:style w:type="paragraph" w:styleId="Heading8">
    <w:name w:val="heading 8"/>
    <w:basedOn w:val="Normal"/>
    <w:next w:val="BodyText"/>
    <w:qFormat/>
    <w:pPr>
      <w:numPr>
        <w:ilvl w:val="7"/>
        <w:numId w:val="1"/>
      </w:numPr>
      <w:spacing w:before="240" w:after="60"/>
      <w:outlineLvl w:val="7"/>
    </w:pPr>
    <w:rPr>
      <w:i/>
    </w:rPr>
  </w:style>
  <w:style w:type="paragraph" w:styleId="Heading9">
    <w:name w:val="heading 9"/>
    <w:basedOn w:val="Normal"/>
    <w:next w:val="BodyText"/>
    <w:qFormat/>
    <w:pPr>
      <w:numPr>
        <w:ilvl w:val="8"/>
        <w:numId w:val="1"/>
      </w:numPr>
      <w:spacing w:before="240" w:after="60"/>
      <w:outlineLvl w:val="8"/>
    </w:pPr>
    <w:rPr>
      <w:b/>
      <w:i/>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ubject">
    <w:name w:val="Subject"/>
    <w:basedOn w:val="Normal"/>
    <w:qFormat/>
    <w:pPr>
      <w:keepNext w:val="true"/>
      <w:keepLines/>
      <w:spacing w:lineRule="atLeast" w:line="290"/>
    </w:pPr>
    <w:rPr>
      <w:b/>
      <w:lang w:val="en-GB"/>
    </w:rPr>
  </w:style>
  <w:style w:type="paragraph" w:styleId="85">
    <w:name w:val="85"/>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90"/>
    </w:pPr>
    <w:rPr>
      <w:lang w:val="en-G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2000-11-15T13:52:00Z</dcterms:created>
  <dc:creator>ape</dc:creator>
  <dc:description/>
  <dc:language>en-CA</dc:language>
  <cp:lastModifiedBy>ape</cp:lastModifiedBy>
  <dcterms:modified xsi:type="dcterms:W3CDTF">2000-11-15T13:56:00Z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50239924.1</vt:lpwstr>
  </property>
</Properties>
</file>