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bookmarkStart w:id="0" w:name="zEndAddressee"/>
      <w:bookmarkEnd w:id="0"/>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ind w:end="-45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270"/>
        <w:gridCol w:w="239"/>
        <w:gridCol w:w="87"/>
      </w:tblGrid>
      <w:tr>
        <w:trPr/>
        <w:tc>
          <w:tcPr>
            <w:tcW w:w="9270" w:type="dxa"/>
            <w:tcBorders>
              <w:top w:val="single" w:sz="6" w:space="0" w:color="000000"/>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ENRON ENERGY SERVICES, INC., </w:t>
            </w:r>
          </w:p>
        </w:tc>
        <w:tc>
          <w:tcPr>
            <w:tcW w:w="239"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87" w:type="dxa"/>
            <w:tcBorders/>
            <w:tcMar>
              <w:start w:w="0" w:type="dxa"/>
              <w:end w:w="0" w:type="dxa"/>
            </w:tcMar>
          </w:tcPr>
          <w:p>
            <w:pPr>
              <w:pStyle w:val="Normal"/>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 w:val="left" w:pos="288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Petitioner,</w:t>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CALIFORNIA PUBLIC UTILITIES COMMISSION,</w:t>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Respondent.</w:t>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single" w:sz="6" w:space="0" w:color="000000"/>
              <w:end w:val="dashed" w:sz="6" w:space="0" w:color="auto"/>
            </w:tcBorders>
          </w:tcPr>
          <w:p>
            <w:pPr>
              <w:pStyle w:val="Normal"/>
              <w:tabs>
                <w:tab w:val="clear" w:pos="720"/>
                <w:tab w:val="left" w:pos="-720" w:leader="none"/>
              </w:tabs>
              <w:suppressAutoHyphens w:val="true"/>
              <w:snapToGrid w:val="false"/>
              <w:ind w:firstLine="18" w:start="-18" w:end="0"/>
              <w:rPr>
                <w:rFonts w:ascii="Courier New" w:hAnsi="Courier New" w:eastAsia="Courier New" w:cs="Courier New"/>
              </w:rPr>
            </w:pPr>
            <w:r>
              <w:rPr>
                <w:rFonts w:eastAsia="Courier New" w:cs="Courier New" w:ascii="Courier New" w:hAnsi="Courier New"/>
              </w:rPr>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PETITION FOR WRIT OF REVIEW AND/OR MANDATE AND/OR</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PROHIBITION OR OTHER APPROPRIATE RELIEF; MEMORANDUM</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 xml:space="preserve">OF POINTS AND AUTHORITIES; SUPPORTING </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EXHIBITS; EMERGENCY STAY REQUESTED</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ind w:start="4320" w:end="0"/>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ind w:firstLine="2160" w:end="0"/>
        <w:rPr>
          <w:rFonts w:ascii="Courier New" w:hAnsi="Courier New" w:eastAsia="Courier New" w:cs="Courier New"/>
        </w:rPr>
      </w:pPr>
      <w:r>
        <w:rPr>
          <w:rFonts w:eastAsia="Courier New" w:cs="Courier New" w:ascii="Courier New" w:hAnsi="Courier New"/>
        </w:rPr>
        <w:t>ARTER &amp; HADDEN LLP</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EDWIN W. DUNCAN- California State Bar No. 45043</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5959 Topanga Canyon Boulevard, Suite 244</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Woodland Hills, California 91367</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Telephone:  (818) 712-0036</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Telecopier: (818) 346-6502</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r>
    </w:p>
    <w:p>
      <w:pPr>
        <w:sectPr>
          <w:headerReference w:type="default" r:id="rId2"/>
          <w:headerReference w:type="first" r:id="rId3"/>
          <w:footerReference w:type="default" r:id="rId4"/>
          <w:footerReference w:type="first" r:id="rId5"/>
          <w:type w:val="nextPage"/>
          <w:pgSz w:w="12240" w:h="15840"/>
          <w:pgMar w:left="1800" w:right="1440" w:gutter="0" w:header="461" w:top="1440" w:footer="360" w:bottom="1440"/>
          <w:pgNumType w:fmt="decimal"/>
          <w:formProt w:val="false"/>
          <w:titlePg/>
          <w:textDirection w:val="lrTb"/>
        </w:sect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t>Attorneys for Petitioner Enron Energy Services, Inc.</w:t>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6" w:space="1" w:color="000000"/>
        </w:pBdr>
        <w:ind w:end="-18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0"/>
        <w:gridCol w:w="8910"/>
        <w:gridCol w:w="180"/>
        <w:gridCol w:w="416"/>
      </w:tblGrid>
      <w:tr>
        <w:trPr/>
        <w:tc>
          <w:tcPr>
            <w:tcW w:w="9180"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ENRON ENERGY SERVICES, INC.,</w:t>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dashed" w:sz="6" w:space="0" w:color="auto"/>
              <w:end w:val="dashed" w:sz="6" w:space="0" w:color="auto"/>
            </w:tcBorders>
          </w:tcPr>
          <w:p>
            <w:pPr>
              <w:pStyle w:val="Normal"/>
              <w:widowControl/>
              <w:snapToGrid w:val="false"/>
              <w:rPr>
                <w:rFonts w:ascii="Courier New" w:hAnsi="Courier New" w:eastAsia="Courier New" w:cs="Courier New"/>
              </w:rPr>
            </w:pPr>
            <w:r>
              <w:rPr>
                <w:rFonts w:eastAsia="Courier New" w:cs="Courier New" w:ascii="Courier New" w:hAnsi="Courier New"/>
              </w:rPr>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 w:val="left" w:pos="2880" w:leader="none"/>
              </w:tabs>
              <w:suppressAutoHyphens w:val="true"/>
              <w:rPr>
                <w:rFonts w:ascii="Courier New" w:hAnsi="Courier New" w:eastAsia="Courier New" w:cs="Courier New"/>
              </w:rPr>
            </w:pPr>
            <w:r>
              <w:rPr>
                <w:rFonts w:eastAsia="Courier New" w:cs="Courier New" w:ascii="Courier New" w:hAnsi="Courier New"/>
              </w:rPr>
              <w:tab/>
              <w:tab/>
              <w:tab/>
              <w:t xml:space="preserve">Petitioner, </w:t>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CALIFORNIA PUBLIC UTILITIES COMMISSION, </w:t>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single" w:sz="6" w:space="0" w:color="000000"/>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 w:val="left" w:pos="3582" w:leader="none"/>
              </w:tabs>
              <w:suppressAutoHyphens w:val="true"/>
              <w:ind w:hanging="2862" w:start="2862" w:end="0"/>
              <w:rPr>
                <w:rFonts w:ascii="Courier New" w:hAnsi="Courier New" w:eastAsia="Courier New" w:cs="Courier New"/>
              </w:rPr>
            </w:pPr>
            <w:r>
              <w:rPr>
                <w:rFonts w:eastAsia="Courier New" w:cs="Courier New" w:ascii="Courier New" w:hAnsi="Courier New"/>
              </w:rPr>
              <w:tab/>
              <w:tab/>
              <w:tab/>
              <w:tab/>
              <w:t>Respondent.</w:t>
            </w:r>
          </w:p>
          <w:p>
            <w:pPr>
              <w:pStyle w:val="Normal"/>
              <w:tabs>
                <w:tab w:val="clear" w:pos="720"/>
                <w:tab w:val="left" w:pos="-720" w:leader="none"/>
                <w:tab w:val="left" w:pos="3582" w:leader="none"/>
              </w:tabs>
              <w:suppressAutoHyphens w:val="true"/>
              <w:rPr>
                <w:rFonts w:ascii="Courier New" w:hAnsi="Courier New" w:eastAsia="Courier New" w:cs="Courier New"/>
              </w:rPr>
            </w:pPr>
            <w:r>
              <w:rPr>
                <w:rFonts w:eastAsia="Courier New" w:cs="Courier New" w:ascii="Courier New" w:hAnsi="Courier New"/>
              </w:rPr>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0" w:type="dxa"/>
            <w:tcBorders/>
            <w:tcMar>
              <w:start w:w="0" w:type="dxa"/>
              <w:end w:w="0" w:type="dxa"/>
            </w:tcMar>
          </w:tcPr>
          <w:p>
            <w:pPr>
              <w:pStyle w:val="Normal"/>
              <w:rPr>
                <w:rFonts w:ascii="Courier New" w:hAnsi="Courier New" w:eastAsia="Courier New" w:cs="Courier New"/>
              </w:rPr>
            </w:pPr>
            <w:r>
              <w:rPr>
                <w:rFonts w:eastAsia="Courier New" w:cs="Courier New" w:ascii="Courier New" w:hAnsi="Courier New"/>
              </w:rPr>
            </w:r>
          </w:p>
        </w:tc>
        <w:tc>
          <w:tcPr>
            <w:tcW w:w="891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 w:val="left" w:pos="2880" w:leader="none"/>
              </w:tabs>
              <w:suppressAutoHyphens w:val="true"/>
              <w:snapToGrid w:val="false"/>
              <w:ind w:firstLine="720" w:end="0"/>
              <w:rPr>
                <w:rFonts w:ascii="Courier New" w:hAnsi="Courier New" w:eastAsia="Courier New" w:cs="Courier New"/>
              </w:rPr>
            </w:pPr>
            <w:r>
              <w:rPr>
                <w:rFonts w:eastAsia="Courier New" w:cs="Courier New" w:ascii="Courier New" w:hAnsi="Courier New"/>
              </w:rPr>
            </w:r>
          </w:p>
        </w:tc>
        <w:tc>
          <w:tcPr>
            <w:tcW w:w="59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PETITION FOR WRIT OF REVIEW AND/OR MANDATE AND/OR</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PROHIBITION OR OTHER APPROPRIATE RELIEF; MEMORANDUM</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 xml:space="preserve">OF POINTS AND AUTHORITIES; SUPPORTING </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EXHIBITS; EMERGENCY STAY REQUESTED</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sectPr>
          <w:headerReference w:type="default" r:id="rId6"/>
          <w:headerReference w:type="first" r:id="rId7"/>
          <w:footerReference w:type="default" r:id="rId8"/>
          <w:footerReference w:type="first" r:id="rId9"/>
          <w:type w:val="nextPage"/>
          <w:pgSz w:w="12240" w:h="15840"/>
          <w:pgMar w:left="1800" w:right="1440" w:gutter="0" w:header="0" w:top="1440" w:footer="173" w:bottom="1440"/>
          <w:pgNumType w:start="0" w:fmt="decimal"/>
          <w:formProt w:val="false"/>
          <w:titlePg/>
          <w:textDirection w:val="lrTb"/>
        </w:sectPr>
      </w:pPr>
    </w:p>
    <w:p>
      <w:pPr>
        <w:pStyle w:val="Heading1"/>
        <w:tabs>
          <w:tab w:val="clear" w:pos="720"/>
          <w:tab w:val="left" w:pos="0" w:leader="none"/>
        </w:tabs>
        <w:ind w:hanging="720" w:start="0" w:end="0"/>
        <w:rPr>
          <w:rFonts w:ascii="Courier New" w:hAnsi="Courier New" w:eastAsia="Courier New" w:cs="Courier New"/>
        </w:rPr>
      </w:pPr>
      <w:r>
        <w:rPr>
          <w:rFonts w:eastAsia="Courier New" w:cs="Courier New" w:ascii="Courier New" w:hAnsi="Courier New"/>
        </w:rPr>
        <w:t>INTRODUCTION</w:t>
      </w:r>
    </w:p>
    <w:p>
      <w:pPr>
        <w:pStyle w:val="Body"/>
        <w:rPr>
          <w:rFonts w:ascii="Courier New" w:hAnsi="Courier New" w:eastAsia="Courier New" w:cs="Courier New"/>
        </w:rPr>
      </w:pPr>
      <w:r>
        <w:rPr>
          <w:rFonts w:eastAsia="Courier New" w:cs="Courier New" w:ascii="Courier New" w:hAnsi="Courier New"/>
        </w:rPr>
        <w:t>This case presents an issue of urgent statewide importance because it concerns the right of Californians to purchase power pursuant to direct access contracts, rather than at the higher prices charged by the utilities.</w:t>
      </w:r>
    </w:p>
    <w:p>
      <w:pPr>
        <w:pStyle w:val="Body"/>
        <w:rPr/>
      </w:pPr>
      <w:r>
        <w:rPr>
          <w:rFonts w:eastAsia="Courier New" w:cs="Courier New" w:ascii="Courier New" w:hAnsi="Courier New"/>
        </w:rPr>
        <w:t xml:space="preserve">On September __, 2001, the California Public Utilities Commission (the “Commission”) issued an order (the “Order”) abrogating thousands of </w:t>
      </w:r>
      <w:r>
        <w:rPr>
          <w:rFonts w:eastAsia="Courier New" w:cs="Courier New" w:ascii="Courier New" w:hAnsi="Courier New"/>
          <w:u w:val="single"/>
        </w:rPr>
        <w:t>existing</w:t>
      </w:r>
      <w:r>
        <w:rPr>
          <w:rFonts w:eastAsia="Courier New" w:cs="Courier New" w:ascii="Courier New" w:hAnsi="Courier New"/>
        </w:rPr>
        <w:t xml:space="preserve"> direct access contracts when it retroactively suspended all such contracts entered into on and after July 1, 2001, between California’s end use retail consumers and the energy service providers, such as Petitioner.  In addition, the Order unilaterally modified the terms of all other direct access contracts between Petitioner and its retail customers.  The Commission took its action over protest</w:t>
      </w:r>
      <w:r>
        <w:rPr>
          <w:rStyle w:val="FootnoteCharacters"/>
          <w:rStyle w:val="FootnoteReference"/>
          <w:rFonts w:eastAsia="Courier New" w:cs="Courier New" w:ascii="Courier New" w:hAnsi="Courier New"/>
          <w:b w:val="false"/>
          <w:bCs w:val="false"/>
        </w:rPr>
        <w:footnoteReference w:id="2"/>
      </w:r>
      <w:r>
        <w:rPr>
          <w:rFonts w:eastAsia="Courier New" w:cs="Courier New" w:ascii="Courier New" w:hAnsi="Courier New"/>
        </w:rPr>
        <w:t xml:space="preserve"> without allowing any hearings.</w:t>
      </w:r>
    </w:p>
    <w:p>
      <w:pPr>
        <w:pStyle w:val="Body"/>
        <w:rPr>
          <w:rFonts w:ascii="Courier New" w:hAnsi="Courier New" w:eastAsia="Courier New" w:cs="Courier New"/>
        </w:rPr>
      </w:pPr>
      <w:r>
        <w:rPr>
          <w:rFonts w:eastAsia="Courier New" w:cs="Courier New" w:ascii="Courier New" w:hAnsi="Courier New"/>
        </w:rPr>
        <w:t>The Commission’s action was unlawful and an abuse of its powers.  Not only did the Commission violate the contract clauses in the United States and California Constitutions, it also deprived Petitioner of due process by denying an evidentiary hearing and then unlawfully took Petitioner’s property without compensation.  The Commission’s conduct requires immediate review because it acted contrary to Public Utilities Code §§ 1757.1(a)(1), (2), (3), (4) and (6).</w:t>
      </w:r>
    </w:p>
    <w:p>
      <w:pPr>
        <w:pStyle w:val="Body"/>
        <w:rPr>
          <w:rFonts w:ascii="Courier New" w:hAnsi="Courier New" w:eastAsia="Courier New" w:cs="Courier New"/>
        </w:rPr>
      </w:pPr>
      <w:r>
        <w:rPr>
          <w:rFonts w:eastAsia="Courier New" w:cs="Courier New" w:ascii="Courier New" w:hAnsi="Courier New"/>
        </w:rPr>
        <w:t>The issue is widespread and urgent because, as of September __, 2001, thousands of direct access contracts were in place pursuant to which electrical power was provided by various energy service providers and paid for by the retail customers.  By its action, the Commission has in effect voided these contracts, even though both sides have performed, and has ordered a windfall to three regulated utilities--Southern California Edison, Pacific Gas and Electric, and San Diego Gas and Electric Company--by allowing them to be paid for service provided by Petitioner and the other energy service providers.</w:t>
      </w:r>
    </w:p>
    <w:p>
      <w:pPr>
        <w:pStyle w:val="Body"/>
        <w:rPr>
          <w:rFonts w:ascii="Courier New" w:hAnsi="Courier New" w:eastAsia="Courier New" w:cs="Courier New"/>
        </w:rPr>
      </w:pPr>
      <w:r>
        <w:rPr>
          <w:rFonts w:eastAsia="Courier New" w:cs="Courier New" w:ascii="Courier New" w:hAnsi="Courier New"/>
        </w:rPr>
        <w:t>Immediate relief from this Court is essential because:</w:t>
      </w:r>
    </w:p>
    <w:p>
      <w:pPr>
        <w:pStyle w:val="Body"/>
        <w:numPr>
          <w:ilvl w:val="0"/>
          <w:numId w:val="2"/>
        </w:numPr>
        <w:tabs>
          <w:tab w:val="clear" w:pos="720"/>
          <w:tab w:val="left" w:pos="0" w:leader="none"/>
        </w:tabs>
        <w:spacing w:before="0" w:after="120"/>
        <w:ind w:hanging="720" w:start="1800" w:end="0"/>
        <w:rPr>
          <w:rFonts w:ascii="Courier New" w:hAnsi="Courier New" w:eastAsia="Courier New" w:cs="Courier New"/>
        </w:rPr>
      </w:pPr>
      <w:r>
        <w:rPr>
          <w:rFonts w:eastAsia="Courier New" w:cs="Courier New" w:ascii="Courier New" w:hAnsi="Courier New"/>
        </w:rPr>
        <w:t>The retroactive application of the Commission’s Order violates (a) Section 10 of Article I of the United States Constitution, (b) the Fourteenth Amendment of the United States Constitution, and (c) Article I, Section 9 of the California Constitution.</w:t>
      </w:r>
    </w:p>
    <w:p>
      <w:pPr>
        <w:pStyle w:val="Body"/>
        <w:numPr>
          <w:ilvl w:val="0"/>
          <w:numId w:val="2"/>
        </w:numPr>
        <w:tabs>
          <w:tab w:val="clear" w:pos="720"/>
          <w:tab w:val="left" w:pos="0" w:leader="none"/>
        </w:tabs>
        <w:ind w:hanging="720" w:start="1800" w:end="0"/>
        <w:rPr>
          <w:rFonts w:ascii="Courier New" w:hAnsi="Courier New" w:eastAsia="Courier New" w:cs="Courier New"/>
        </w:rPr>
      </w:pPr>
      <w:r>
        <w:rPr>
          <w:rFonts w:eastAsia="Courier New" w:cs="Courier New" w:ascii="Courier New" w:hAnsi="Courier New"/>
        </w:rPr>
        <w:t>The Commission’s refusal to allow hearings denied fundamental due process guaranteed by (a) the Fifth Amendment of the United States Constitution, (b) the Fourteenth Amendment of the United States Constitution, and (c) Article I, Section 7 of the California Constitution.</w:t>
      </w:r>
    </w:p>
    <w:p>
      <w:pPr>
        <w:pStyle w:val="Body"/>
        <w:numPr>
          <w:ilvl w:val="0"/>
          <w:numId w:val="2"/>
        </w:numPr>
        <w:tabs>
          <w:tab w:val="clear" w:pos="720"/>
          <w:tab w:val="left" w:pos="0" w:leader="none"/>
        </w:tabs>
        <w:spacing w:before="0" w:after="240"/>
        <w:ind w:hanging="360" w:start="1800" w:end="0"/>
        <w:rPr>
          <w:rFonts w:ascii="Courier New" w:hAnsi="Courier New" w:eastAsia="Courier New" w:cs="Courier New"/>
        </w:rPr>
      </w:pPr>
      <w:r>
        <w:rPr>
          <w:rFonts w:eastAsia="Courier New" w:cs="Courier New" w:ascii="Courier New" w:hAnsi="Courier New"/>
        </w:rPr>
        <w:t>The Commission’s Order modifying pre-July 1 and suspending post-July 1 direct access contracts constitutes a taking of Petitioner’s property without compensation in violation of (a) the Fifth and Fourteenth Amendments of the United States Constitution and (b) Article I, Section 19 of the California Constitution.</w:t>
      </w:r>
    </w:p>
    <w:p>
      <w:pPr>
        <w:pStyle w:val="Body"/>
        <w:ind w:hanging="0" w:end="0"/>
        <w:rPr>
          <w:rFonts w:ascii="Courier New" w:hAnsi="Courier New" w:eastAsia="Courier New" w:cs="Courier New"/>
        </w:rPr>
      </w:pPr>
      <w:r>
        <w:rPr>
          <w:rFonts w:eastAsia="Courier New" w:cs="Courier New" w:ascii="Courier New" w:hAnsi="Courier New"/>
        </w:rPr>
        <w:t xml:space="preserve">This Petition presents a compelling case for writ review to resolve issues of statewide importance and to protect California residents and those engaged in business with them from a flagrant abuse of their constitutional rights.  </w:t>
      </w:r>
    </w:p>
    <w:p>
      <w:pPr>
        <w:pStyle w:val="Body"/>
        <w:rPr>
          <w:rFonts w:ascii="Courier New" w:hAnsi="Courier New" w:eastAsia="Courier New" w:cs="Courier New"/>
        </w:rPr>
      </w:pPr>
      <w:r>
        <w:rPr>
          <w:rFonts w:eastAsia="Courier New" w:cs="Courier New" w:ascii="Courier New" w:hAnsi="Courier New"/>
        </w:rPr>
        <w:t>Pending review by this Court, Petitioner requests that an immediate stay order be issued pursuant to Public Utilities Code § 1763(a) to maintain the status quo.  Otherwise, Petitioner will suffer irreparable harm from the loss of its direct access contracts, from a multiplicity of claims and lawsuits for nonperformance, and from the loss of the payments received for services provided prior to the Order.</w:t>
      </w:r>
    </w:p>
    <w:p>
      <w:pPr>
        <w:pStyle w:val="Body"/>
        <w:rPr>
          <w:rFonts w:ascii="Courier New" w:hAnsi="Courier New" w:eastAsia="Courier New" w:cs="Courier New"/>
        </w:rPr>
      </w:pPr>
      <w:r>
        <w:rPr>
          <w:rFonts w:eastAsia="Courier New" w:cs="Courier New" w:ascii="Courier New" w:hAnsi="Courier New"/>
        </w:rPr>
      </w:r>
    </w:p>
    <w:p>
      <w:pPr>
        <w:pStyle w:val="Heading1"/>
        <w:tabs>
          <w:tab w:val="clear" w:pos="720"/>
          <w:tab w:val="left" w:pos="0" w:leader="none"/>
        </w:tabs>
        <w:ind w:hanging="720" w:start="0" w:end="0"/>
        <w:rPr>
          <w:rFonts w:ascii="Courier New" w:hAnsi="Courier New" w:eastAsia="Courier New" w:cs="Courier New"/>
        </w:rPr>
      </w:pPr>
      <w:r>
        <w:rPr>
          <w:rFonts w:eastAsia="Courier New" w:cs="Courier New" w:ascii="Courier New" w:hAnsi="Courier New"/>
        </w:rPr>
        <w:t>PETITION FOR WRIT OF REVIEW AND/OR MANDATE AND/OR</w:t>
        <w:br/>
        <w:t>PROHIBITION OR OTHER APPROPRIATE RELIEF</w:t>
      </w:r>
    </w:p>
    <w:p>
      <w:pPr>
        <w:pStyle w:val="Heading2"/>
        <w:tabs>
          <w:tab w:val="clear" w:pos="720"/>
          <w:tab w:val="left" w:pos="0" w:leader="none"/>
        </w:tabs>
        <w:ind w:hanging="720" w:start="0"/>
        <w:rPr>
          <w:u w:val="single"/>
        </w:rPr>
      </w:pPr>
      <w:r>
        <w:rPr>
          <w:u w:val="single"/>
        </w:rPr>
        <w:t>The Petitioner and Respondent</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w:t>
      </w:r>
      <w:r>
        <w:rPr>
          <w:rFonts w:eastAsia="Courier New" w:cs="Courier New" w:ascii="Courier New" w:hAnsi="Courier New"/>
        </w:rPr>
        <w:fldChar w:fldCharType="end"/>
      </w:r>
      <w:r>
        <w:rPr>
          <w:rFonts w:eastAsia="Courier New" w:cs="Courier New" w:ascii="Courier New" w:hAnsi="Courier New"/>
        </w:rPr>
        <w:t>.</w:t>
        <w:tab/>
        <w:t>Petitioner Enron Energy Services, Inc.,  is an energy service provider which entered into direct access contracts with California retail users prior and subsequent to July 1, 2001.</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w:t>
      </w:r>
      <w:r>
        <w:rPr>
          <w:rFonts w:eastAsia="Courier New" w:cs="Courier New" w:ascii="Courier New" w:hAnsi="Courier New"/>
        </w:rPr>
        <w:fldChar w:fldCharType="end"/>
      </w:r>
      <w:r>
        <w:rPr>
          <w:rFonts w:eastAsia="Courier New" w:cs="Courier New" w:ascii="Courier New" w:hAnsi="Courier New"/>
        </w:rPr>
        <w:t>.</w:t>
        <w:tab/>
        <w:t>Respondent California Public Utilities Commission (the “Commission”) is an agency of the State of California responsible for regulating privately-owned utilities providing electrical service to some of California’s retail energy users.</w:t>
      </w:r>
    </w:p>
    <w:p>
      <w:pPr>
        <w:pStyle w:val="Body"/>
        <w:rPr/>
      </w:pPr>
      <w:bookmarkStart w:id="1" w:name="bkMarkSeq1"/>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w:t>
      </w:r>
      <w:r>
        <w:rPr>
          <w:rFonts w:eastAsia="Courier New" w:cs="Courier New" w:ascii="Courier New" w:hAnsi="Courier New"/>
        </w:rPr>
        <w:fldChar w:fldCharType="end"/>
      </w:r>
      <w:bookmarkEnd w:id="1"/>
      <w:r>
        <w:rPr>
          <w:rFonts w:eastAsia="Courier New" w:cs="Courier New" w:ascii="Courier New" w:hAnsi="Courier New"/>
        </w:rPr>
        <w:t>.</w:t>
        <w:tab/>
        <w:t>Petitioner and the other energy service providers are not utilities regulated by the Commission.</w:t>
      </w:r>
    </w:p>
    <w:p>
      <w:pPr>
        <w:pStyle w:val="Body"/>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720" w:start="0"/>
        <w:rPr>
          <w:u w:val="single"/>
        </w:rPr>
      </w:pPr>
      <w:r>
        <w:rPr>
          <w:u w:val="single"/>
        </w:rPr>
        <w:t>Authenticity of Exhibits</w:t>
      </w:r>
    </w:p>
    <w:p>
      <w:pPr>
        <w:pStyle w:val="Body"/>
        <w:rPr>
          <w:rFonts w:ascii="Courier New" w:hAnsi="Courier New" w:eastAsia="Courier New" w:cs="Courier New"/>
        </w:rPr>
      </w:pPr>
      <w:bookmarkStart w:id="2" w:name="bkCheck2"/>
      <w:bookmarkStart w:id="3" w:name="bkCheck1"/>
      <w:bookmarkStart w:id="4" w:name="bkReturn"/>
      <w:bookmarkStart w:id="5" w:name="bkGoback"/>
      <w:bookmarkEnd w:id="3"/>
      <w:bookmarkEnd w:id="4"/>
      <w:bookmarkEnd w:id="5"/>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4</w:t>
      </w:r>
      <w:r>
        <w:rPr>
          <w:rFonts w:eastAsia="Courier New" w:cs="Courier New" w:ascii="Courier New" w:hAnsi="Courier New"/>
        </w:rPr>
        <w:fldChar w:fldCharType="end"/>
      </w:r>
      <w:r>
        <w:rPr>
          <w:rFonts w:eastAsia="Courier New" w:cs="Courier New" w:ascii="Courier New" w:hAnsi="Courier New"/>
        </w:rPr>
        <w:t>.</w:t>
        <w:tab/>
      </w:r>
      <w:bookmarkEnd w:id="2"/>
      <w:r>
        <w:rPr>
          <w:rFonts w:eastAsia="Courier New" w:cs="Courier New" w:ascii="Courier New" w:hAnsi="Courier New"/>
        </w:rPr>
        <w:t>All Exhibits referred to in this Petition are true copies of original documents on file with respondent Commission.  The Exhibits are incorporated herein by this reference as though set forth in full.</w:t>
      </w:r>
      <w:r>
        <w:rPr>
          <w:rStyle w:val="FootnoteCharacters"/>
          <w:rStyle w:val="FootnoteReference"/>
          <w:rFonts w:eastAsia="Courier New" w:cs="Courier New" w:ascii="Courier New" w:hAnsi="Courier New"/>
        </w:rPr>
        <w:footnoteReference w:id="3"/>
      </w:r>
    </w:p>
    <w:p>
      <w:pPr>
        <w:pStyle w:val="Heading2"/>
        <w:tabs>
          <w:tab w:val="clear" w:pos="720"/>
          <w:tab w:val="left" w:pos="0" w:leader="none"/>
        </w:tabs>
        <w:spacing w:before="240" w:after="0"/>
        <w:ind w:hanging="720" w:start="0"/>
        <w:rPr>
          <w:u w:val="single"/>
        </w:rPr>
      </w:pPr>
      <w:r>
        <w:rPr>
          <w:u w:val="single"/>
        </w:rPr>
        <w:t>Chronology of Pertinent Events</w:t>
      </w:r>
    </w:p>
    <w:p>
      <w:pPr>
        <w:pStyle w:val="Body"/>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5</w:t>
      </w:r>
      <w:r>
        <w:rPr>
          <w:rFonts w:eastAsia="Courier New" w:cs="Courier New" w:ascii="Courier New" w:hAnsi="Courier New"/>
        </w:rPr>
        <w:fldChar w:fldCharType="end"/>
      </w:r>
      <w:r>
        <w:rPr>
          <w:rFonts w:eastAsia="Courier New" w:cs="Courier New" w:ascii="Courier New" w:hAnsi="Courier New"/>
        </w:rPr>
        <w:t>.</w:t>
        <w:tab/>
        <w:t>Since approximately 1996, California retail users have been able to obtain electrical power directly from energy service providers other than the utilities regulated by the Commission.  This is referred to as direct access and was authorized by the Legislature (PUC § ____) as part of California’s public policy to create an electrical supply industry with many competitors.  As of July 31, 2001, more than 70,000 direct access contracts were in effect statewide, comprising approximately 3.1% of the California demand for electricity.</w:t>
      </w:r>
      <w:r>
        <w:rPr>
          <w:rStyle w:val="FootnoteCharacters"/>
          <w:rStyle w:val="FootnoteReference"/>
          <w:rFonts w:eastAsia="Courier New" w:cs="Courier New" w:ascii="Courier New" w:hAnsi="Courier New"/>
          <w:b w:val="false"/>
          <w:bCs w:val="false"/>
        </w:rPr>
        <w:footnoteReference w:id="4"/>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6</w:t>
      </w:r>
      <w:r>
        <w:rPr>
          <w:rFonts w:eastAsia="Courier New" w:cs="Courier New" w:ascii="Courier New" w:hAnsi="Courier New"/>
        </w:rPr>
        <w:fldChar w:fldCharType="end"/>
      </w:r>
      <w:r>
        <w:rPr>
          <w:rFonts w:eastAsia="Courier New" w:cs="Courier New" w:ascii="Courier New" w:hAnsi="Courier New"/>
        </w:rPr>
        <w:t>.</w:t>
        <w:tab/>
        <w:t>On January 25, 2001, Southern California Edison Company filed with the Commission a Petition for Expedited Modification of D.99-06-058 (the “Edison Proceeding”), requesting authorization to temporarily suspend payment of Power Exchange energy credits to energy service providers and to their direct access customers.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7</w:t>
      </w:r>
      <w:r>
        <w:rPr>
          <w:rFonts w:eastAsia="Courier New" w:cs="Courier New" w:ascii="Courier New" w:hAnsi="Courier New"/>
        </w:rPr>
        <w:fldChar w:fldCharType="end"/>
      </w:r>
      <w:r>
        <w:rPr>
          <w:rFonts w:eastAsia="Courier New" w:cs="Courier New" w:ascii="Courier New" w:hAnsi="Courier New"/>
        </w:rPr>
        <w:t>.</w:t>
        <w:tab/>
        <w:t>On February 1, 2001, AB 1X was enacted by the California Legislature on an urgency basis and, among other things, added Section 80110 to the Water Code.  This Section provides in pertinent part:</w:t>
      </w:r>
    </w:p>
    <w:p>
      <w:pPr>
        <w:pStyle w:val="Body"/>
        <w:ind w:hanging="0" w:start="1800" w:end="1440"/>
        <w:rPr/>
      </w:pPr>
      <w:r>
        <w:rPr>
          <w:rFonts w:eastAsia="Courier New" w:cs="Courier New" w:ascii="Courier New" w:hAnsi="Courier New"/>
        </w:rPr>
        <w:t>“</w:t>
      </w:r>
      <w:r>
        <w:rPr>
          <w:rFonts w:eastAsia="Courier New" w:cs="Courier New" w:ascii="Courier New" w:hAnsi="Courier New"/>
        </w:rPr>
        <w:t xml:space="preserve">After the passage of such period of time after the effective date of this section </w:t>
      </w:r>
      <w:r>
        <w:rPr>
          <w:rFonts w:eastAsia="Courier New" w:cs="Courier New" w:ascii="Courier New" w:hAnsi="Courier New"/>
          <w:b/>
          <w:bCs/>
        </w:rPr>
        <w:t>as shall be determined by the Commission</w:t>
      </w:r>
      <w:r>
        <w:rPr>
          <w:rFonts w:eastAsia="Courier New" w:cs="Courier New" w:ascii="Courier New" w:hAnsi="Courier New"/>
        </w:rPr>
        <w:t>, the right of retail end use customers . . . to acquire service from other providers shall be suspended.”  (Emphasis added).</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8</w:t>
      </w:r>
      <w:r>
        <w:rPr>
          <w:rFonts w:eastAsia="Courier New" w:cs="Courier New" w:ascii="Courier New" w:hAnsi="Courier New"/>
        </w:rPr>
        <w:fldChar w:fldCharType="end"/>
      </w:r>
      <w:r>
        <w:rPr>
          <w:rFonts w:eastAsia="Courier New" w:cs="Courier New" w:ascii="Courier New" w:hAnsi="Courier New"/>
        </w:rPr>
        <w:t>.</w:t>
        <w:tab/>
        <w:t>Subsequent to February 1, 2001, Petitioner is informed and believes that the Commission decided to use the Edison Proceeding as the vehicle by which to determine when to suspend the right to acquire service by means of direct access.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9</w:t>
      </w:r>
      <w:r>
        <w:rPr>
          <w:rFonts w:eastAsia="Courier New" w:cs="Courier New" w:ascii="Courier New" w:hAnsi="Courier New"/>
        </w:rPr>
        <w:fldChar w:fldCharType="end"/>
      </w:r>
      <w:r>
        <w:rPr>
          <w:rFonts w:eastAsia="Courier New" w:cs="Courier New" w:ascii="Courier New" w:hAnsi="Courier New"/>
        </w:rPr>
        <w:t>.</w:t>
        <w:tab/>
        <w:t>On June 14, 2001, a draft decision in the Edison Proceeding was issued by Administrative Law Judge (“ALJ”) Barnett proposing that direct access be suspended effective July 1, 2001.  The Commission declined to act on this draft decision.</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10</w:t>
      </w:r>
      <w:r>
        <w:rPr>
          <w:rFonts w:eastAsia="Courier New" w:cs="Courier New" w:ascii="Courier New" w:hAnsi="Courier New"/>
        </w:rPr>
        <w:fldChar w:fldCharType="end"/>
      </w:r>
      <w:r>
        <w:rPr>
          <w:rFonts w:eastAsia="Courier New" w:cs="Courier New" w:ascii="Courier New" w:hAnsi="Courier New"/>
        </w:rPr>
        <w:t>.</w:t>
        <w:tab/>
        <w:t>On June 14, 2001, an alternate draft decision was issued by Public Utilities Commissioner Bilas in the Edison Proceeding which called for further investigation and hearings by the Commission and did not call for suspension of direct access.  The Commission declined to act on this proposed alternate draft decision.</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11</w:t>
      </w:r>
      <w:r>
        <w:rPr>
          <w:rFonts w:eastAsia="Courier New" w:cs="Courier New" w:ascii="Courier New" w:hAnsi="Courier New"/>
        </w:rPr>
        <w:fldChar w:fldCharType="end"/>
      </w:r>
      <w:r>
        <w:rPr>
          <w:rFonts w:eastAsia="Courier New" w:cs="Courier New" w:ascii="Courier New" w:hAnsi="Courier New"/>
        </w:rPr>
        <w:t>.</w:t>
        <w:tab/>
        <w:t>On August 15, 2001, ALJ Barnett issued a second draft decision in the Edison Proceeding proposing that direct access be suspended effective September 1, 2001.  The Commission declined to act on this proposed draft decision.</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12</w:t>
      </w:r>
      <w:r>
        <w:rPr>
          <w:rFonts w:eastAsia="Courier New" w:cs="Courier New" w:ascii="Courier New" w:hAnsi="Courier New"/>
        </w:rPr>
        <w:fldChar w:fldCharType="end"/>
      </w:r>
      <w:r>
        <w:rPr>
          <w:rFonts w:eastAsia="Courier New" w:cs="Courier New" w:ascii="Courier New" w:hAnsi="Courier New"/>
        </w:rPr>
        <w:t>.</w:t>
        <w:tab/>
        <w:t xml:space="preserve">On August 27, 2001, ALJ Barnett issued a third draft decision proposing that all direct access contracts entered into from and after July 1, 2001, be suspended </w:t>
      </w:r>
      <w:r>
        <w:rPr>
          <w:rFonts w:eastAsia="Courier New" w:cs="Courier New" w:ascii="Courier New" w:hAnsi="Courier New"/>
          <w:u w:val="single"/>
        </w:rPr>
        <w:t>retroactively</w:t>
      </w:r>
      <w:r>
        <w:rPr>
          <w:rFonts w:eastAsia="Courier New" w:cs="Courier New" w:ascii="Courier New" w:hAnsi="Courier New"/>
        </w:rPr>
        <w:t xml:space="preserve"> and that the terms of all other direct access contracts be modified requiring such contracts to terminate on their first anniversary.  (A copy of the August 27 Draft Decision is Exhibit A in the Exhibit Folio.)</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13</w:t>
      </w:r>
      <w:r>
        <w:rPr>
          <w:rFonts w:eastAsia="Courier New" w:cs="Courier New" w:ascii="Courier New" w:hAnsi="Courier New"/>
        </w:rPr>
        <w:fldChar w:fldCharType="end"/>
      </w:r>
      <w:r>
        <w:rPr>
          <w:rFonts w:eastAsia="Courier New" w:cs="Courier New" w:ascii="Courier New" w:hAnsi="Courier New"/>
        </w:rPr>
        <w:t>.</w:t>
        <w:tab/>
        <w:t>On August 30, 2001, an alternate draft decision was issued by Commissioner Bilas which called for further investigation by the Commission, including evidentiary hearings, and did not call for suspension of direct access.  (A copy of the August 30 Alternate Draft Decision is Exhibit B in the Exhibit Folio.)</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14</w:t>
      </w:r>
      <w:r>
        <w:rPr>
          <w:rFonts w:eastAsia="Courier New" w:cs="Courier New" w:ascii="Courier New" w:hAnsi="Courier New"/>
        </w:rPr>
        <w:fldChar w:fldCharType="end"/>
      </w:r>
      <w:r>
        <w:rPr>
          <w:rFonts w:eastAsia="Courier New" w:cs="Courier New" w:ascii="Courier New" w:hAnsi="Courier New"/>
        </w:rPr>
        <w:t>.</w:t>
        <w:tab/>
        <w:t>On September 4, 2001, Petitioner as a member of the Alliance For Retail Energy Markets and The Western Power Trading Forum submitted written comments(a copy of which is Exhibit C in the Exhibit Folio) opposing the August 27 Draft Decision (Exhibit A) and supporting the August 30 Alternate Draft Decision (Exhibit B).</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15</w:t>
      </w:r>
      <w:r>
        <w:rPr>
          <w:rFonts w:eastAsia="Courier New" w:cs="Courier New" w:ascii="Courier New" w:hAnsi="Courier New"/>
        </w:rPr>
        <w:fldChar w:fldCharType="end"/>
      </w:r>
      <w:r>
        <w:rPr>
          <w:rFonts w:eastAsia="Courier New" w:cs="Courier New" w:ascii="Courier New" w:hAnsi="Courier New"/>
        </w:rPr>
        <w:t>.</w:t>
        <w:tab/>
        <w:t xml:space="preserve">On September __, 2001, the Commission enacted the August 27, 2001 Draft Decision of ALJ Barnett. (A copy of the Commission’s Order is Exhibit D in the Exhibit Folio.)  The Commission ordered, effective immediately, that all direct access contracts entered into since July 1, 2001, be suspended and that the terms of all other direct access contracts be modified requiring such contracts to terminate on their first anniversary date.  (Exhibit D at __.)  In addition, the Commission refused to enact the August 30 Alternate Draft Decision, including its request for hearings.  </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16</w:t>
      </w:r>
      <w:r>
        <w:rPr>
          <w:rFonts w:eastAsia="Courier New" w:cs="Courier New" w:ascii="Courier New" w:hAnsi="Courier New"/>
        </w:rPr>
        <w:fldChar w:fldCharType="end"/>
      </w:r>
      <w:r>
        <w:rPr>
          <w:rFonts w:eastAsia="Courier New" w:cs="Courier New" w:ascii="Courier New" w:hAnsi="Courier New"/>
        </w:rPr>
        <w:t>.</w:t>
        <w:tab/>
        <w:t>The Commission has refused to hold evidentiary hearings even though such hearings were requested by Commissioner Bilas in the August 30 Alternate Draft Decision and by Petitioner in its Comments supporting the August 30 Alternate Draft Decision.</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17</w:t>
      </w:r>
      <w:r>
        <w:rPr>
          <w:rFonts w:eastAsia="Courier New" w:cs="Courier New" w:ascii="Courier New" w:hAnsi="Courier New"/>
        </w:rPr>
        <w:fldChar w:fldCharType="end"/>
      </w:r>
      <w:r>
        <w:rPr>
          <w:rFonts w:eastAsia="Courier New" w:cs="Courier New" w:ascii="Courier New" w:hAnsi="Courier New"/>
        </w:rPr>
        <w:t>.</w:t>
        <w:tab/>
        <w:t>The Commission has refused to stay implementation of its Order pending judicial review.</w:t>
      </w:r>
    </w:p>
    <w:p>
      <w:pPr>
        <w:pStyle w:val="Heading2"/>
        <w:tabs>
          <w:tab w:val="clear" w:pos="720"/>
          <w:tab w:val="left" w:pos="0" w:leader="none"/>
        </w:tabs>
        <w:spacing w:before="240" w:after="0"/>
        <w:ind w:hanging="720" w:start="0"/>
        <w:rPr>
          <w:u w:val="single"/>
        </w:rPr>
      </w:pPr>
      <w:r>
        <w:rPr>
          <w:u w:val="single"/>
        </w:rPr>
        <w:t>Basis For Relief</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18</w:t>
      </w:r>
      <w:r>
        <w:rPr>
          <w:rFonts w:eastAsia="Courier New" w:cs="Courier New" w:ascii="Courier New" w:hAnsi="Courier New"/>
        </w:rPr>
        <w:fldChar w:fldCharType="end"/>
      </w:r>
      <w:r>
        <w:rPr>
          <w:rFonts w:eastAsia="Courier New" w:cs="Courier New" w:ascii="Courier New" w:hAnsi="Courier New"/>
        </w:rPr>
        <w:t>.</w:t>
        <w:tab/>
        <w:t>The issues presented in this Petition are whether the Commission acted in excess of its powers and in violation of law by retroactively suspending certain direct access contracts and by modifying the terms of the remaining direct access contracts.  The Commission’s action was excessive and unlawful because: (a) its retroactive application violates the contract clauses in the California and United States Constitutions; (b) its Order has resulted in a taking of Petitioner’s property without compensation in violation of the California and United States Constitutions; and (c) its actions denied fundamental concepts of due process because it refused to permit a hearing in violation of the California and United States Constitutions.</w:t>
      </w:r>
    </w:p>
    <w:p>
      <w:pPr>
        <w:pStyle w:val="Heading2"/>
        <w:tabs>
          <w:tab w:val="clear" w:pos="720"/>
          <w:tab w:val="left" w:pos="0" w:leader="none"/>
        </w:tabs>
        <w:spacing w:before="240" w:after="0"/>
        <w:ind w:hanging="720" w:start="0"/>
        <w:rPr>
          <w:u w:val="single"/>
        </w:rPr>
      </w:pPr>
      <w:r>
        <w:rPr>
          <w:u w:val="single"/>
        </w:rPr>
        <w:t>Supreme Court Review Is The Only Available Remedy</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19</w:t>
      </w:r>
      <w:r>
        <w:rPr>
          <w:rFonts w:eastAsia="Courier New" w:cs="Courier New" w:ascii="Courier New" w:hAnsi="Courier New"/>
        </w:rPr>
        <w:fldChar w:fldCharType="end"/>
      </w:r>
      <w:r>
        <w:rPr>
          <w:rFonts w:eastAsia="Courier New" w:cs="Courier New" w:ascii="Courier New" w:hAnsi="Courier New"/>
        </w:rPr>
        <w:t>.</w:t>
        <w:tab/>
        <w:t>On February 1, 2001, Section 1768 was added to the Public Utilities Code as an urgency measure.  This section provides that the California Supreme Court is the only California court with jurisdiction to review decisions by the Commission made pursuant to AB 1X.  Petitioner has no other adequate remedy and will be irreparably harmed unless the relief sought in this Petition is granted.</w:t>
      </w:r>
    </w:p>
    <w:p>
      <w:pPr>
        <w:pStyle w:val="Heading2"/>
        <w:tabs>
          <w:tab w:val="clear" w:pos="720"/>
          <w:tab w:val="left" w:pos="0" w:leader="none"/>
        </w:tabs>
        <w:spacing w:before="240" w:after="0"/>
        <w:ind w:hanging="720" w:start="0"/>
        <w:rPr>
          <w:u w:val="single"/>
        </w:rPr>
      </w:pPr>
      <w:r>
        <w:rPr>
          <w:u w:val="single"/>
        </w:rPr>
        <w:t>Petitioner Requests And Is Entitled To A Temporary Stay</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20</w:t>
      </w:r>
      <w:r>
        <w:rPr>
          <w:rFonts w:eastAsia="Courier New" w:cs="Courier New" w:ascii="Courier New" w:hAnsi="Courier New"/>
        </w:rPr>
        <w:fldChar w:fldCharType="end"/>
      </w:r>
      <w:r>
        <w:rPr>
          <w:rFonts w:eastAsia="Courier New" w:cs="Courier New" w:ascii="Courier New" w:hAnsi="Courier New"/>
        </w:rPr>
        <w:t>.</w:t>
        <w:tab/>
        <w:t>Section 1762(c) of the Public Utilities Code authorizes this Court to grant a temporary stay if the Petitioner will suffer irreparable loss or damage unless the stay is granted.</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21</w:t>
      </w:r>
      <w:r>
        <w:rPr>
          <w:rFonts w:eastAsia="Courier New" w:cs="Courier New" w:ascii="Courier New" w:hAnsi="Courier New"/>
        </w:rPr>
        <w:fldChar w:fldCharType="end"/>
      </w:r>
      <w:r>
        <w:rPr>
          <w:rFonts w:eastAsia="Courier New" w:cs="Courier New" w:ascii="Courier New" w:hAnsi="Courier New"/>
        </w:rPr>
        <w:t>.</w:t>
        <w:tab/>
        <w:t xml:space="preserve">Petitioner requests that this Court grant a temporary stay restraining the operation of the Commission’s Order because Petitioner will otherwise suffer irreparable loss or damage since: </w:t>
      </w:r>
    </w:p>
    <w:p>
      <w:pPr>
        <w:pStyle w:val="Heading4"/>
        <w:keepNext w:val="false"/>
        <w:keepLines w:val="false"/>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Petitioner will be required to return to its retail customers or pay to the three regulated utilities all sums received from its retail customers pursuant to the suspended contracts, even though Petitioner purchased and delivered the electricity required by the suspended contracts;</w:t>
      </w:r>
    </w:p>
    <w:p>
      <w:pPr>
        <w:pStyle w:val="Heading4"/>
        <w:keepNext w:val="false"/>
        <w:keepLines w:val="false"/>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Petitioner will be subject to a multiplicty of claims and lawsuits from its customers because it will be unable to perform as required under the suspended contracts; and</w:t>
      </w:r>
    </w:p>
    <w:p>
      <w:pPr>
        <w:pStyle w:val="Heading4"/>
        <w:keepNext w:val="false"/>
        <w:keepLines w:val="false"/>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Petitioner will lose its direct access customers if it is not allowed to perform as required under the suspended contracts.</w:t>
      </w:r>
    </w:p>
    <w:p>
      <w:pPr>
        <w:pStyle w:val="TableofAuthorities"/>
        <w:rPr>
          <w:rFonts w:ascii="Courier New" w:hAnsi="Courier New" w:eastAsia="Courier New" w:cs="Courier New"/>
        </w:rPr>
      </w:pPr>
      <w:r>
        <w:rPr>
          <w:rFonts w:eastAsia="Courier New" w:cs="Courier New" w:ascii="Courier New" w:hAnsi="Courier New"/>
        </w:rPr>
      </w:r>
    </w:p>
    <w:p>
      <w:pPr>
        <w:pStyle w:val="Heading1"/>
        <w:tabs>
          <w:tab w:val="clear" w:pos="720"/>
          <w:tab w:val="left" w:pos="0" w:leader="none"/>
        </w:tabs>
        <w:ind w:hanging="0" w:start="0"/>
        <w:rPr>
          <w:rFonts w:ascii="Courier New" w:hAnsi="Courier New" w:eastAsia="Courier New" w:cs="Courier New"/>
        </w:rPr>
      </w:pPr>
      <w:r>
        <w:rPr>
          <w:rFonts w:eastAsia="Courier New" w:cs="Courier New" w:ascii="Courier New" w:hAnsi="Courier New"/>
        </w:rPr>
        <w:t>PRAYER</w:t>
      </w:r>
    </w:p>
    <w:p>
      <w:pPr>
        <w:pStyle w:val="Body"/>
        <w:rPr>
          <w:rFonts w:ascii="Courier New" w:hAnsi="Courier New" w:eastAsia="Courier New" w:cs="Courier New"/>
        </w:rPr>
      </w:pPr>
      <w:r>
        <w:rPr>
          <w:rFonts w:eastAsia="Courier New" w:cs="Courier New" w:ascii="Courier New" w:hAnsi="Courier New"/>
        </w:rPr>
        <w:t>Petitioner Enron Energy Services, Inc., prays that this Court:</w:t>
      </w:r>
    </w:p>
    <w:p>
      <w:pPr>
        <w:pStyle w:val="Body"/>
        <w:numPr>
          <w:ilvl w:val="0"/>
          <w:numId w:val="3"/>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Find that the Petitioner will suffer irreparable damage or loss unless an immediate stay is issued because:</w:t>
      </w:r>
    </w:p>
    <w:p>
      <w:pPr>
        <w:pStyle w:val="Heading4"/>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Petitioner will be required to return to its retail customers or pay to the three regulated utilities all sums received from its retail customers for electrical power Petitioner purchased and delivered pursuant to the suspended contracts;</w:t>
      </w:r>
    </w:p>
    <w:p>
      <w:pPr>
        <w:pStyle w:val="Heading4"/>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Petitioner will be subjected to a multiplicty of claims and lawsuits from its customers if it is unable to perform as required under the suspended contracts; and</w:t>
      </w:r>
    </w:p>
    <w:p>
      <w:pPr>
        <w:pStyle w:val="Heading4"/>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Petitioner will lose its direct access customers if it is not allowed to perform as required under the suspended contracts;</w:t>
      </w:r>
    </w:p>
    <w:p>
      <w:pPr>
        <w:pStyle w:val="Body"/>
        <w:numPr>
          <w:ilvl w:val="0"/>
          <w:numId w:val="4"/>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Issue a temporary Stay Order restraining the operation of the Commission’s Order during the pendency of this proceeding;</w:t>
      </w:r>
    </w:p>
    <w:p>
      <w:pPr>
        <w:pStyle w:val="Body"/>
        <w:numPr>
          <w:ilvl w:val="0"/>
          <w:numId w:val="4"/>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Issue an alternative writ directing Respondent Commission to set aside and vacate its Order of September ___, 2001, retroactively suspending certain direct access contracts and modifying the terms of all other direct access contracts, or to show cause why it should not be ordered to do so, and upon return of the alternative writ issue a peremptory writ of mandate and/or prohibition or such other relief as is warranted directing Respondent Commission to set aside and vacate its Order of September ___, 2001;</w:t>
      </w:r>
    </w:p>
    <w:p>
      <w:pPr>
        <w:pStyle w:val="Body"/>
        <w:numPr>
          <w:ilvl w:val="0"/>
          <w:numId w:val="4"/>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Award Petitioner its costs pursuant to Rule 56.4 of the California Rules of Court; and</w:t>
      </w:r>
    </w:p>
    <w:p>
      <w:pPr>
        <w:pStyle w:val="Body"/>
        <w:numPr>
          <w:ilvl w:val="0"/>
          <w:numId w:val="4"/>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Grant such other relief as may be just and proper.</w:t>
      </w:r>
    </w:p>
    <w:p>
      <w:pPr>
        <w:pStyle w:val="Body"/>
        <w:ind w:hanging="0" w:end="0"/>
        <w:rPr>
          <w:rFonts w:ascii="Courier New" w:hAnsi="Courier New" w:eastAsia="Courier New" w:cs="Courier New"/>
        </w:rPr>
      </w:pPr>
      <w:r>
        <w:rPr>
          <w:rFonts w:eastAsia="Courier New" w:cs="Courier New" w:ascii="Courier New" w:hAnsi="Courier New"/>
        </w:rPr>
      </w:r>
    </w:p>
    <w:p>
      <w:pPr>
        <w:pStyle w:val="Body"/>
        <w:ind w:hanging="0" w:end="0"/>
        <w:rPr>
          <w:rFonts w:ascii="Courier New" w:hAnsi="Courier New" w:eastAsia="Courier New" w:cs="Courier New"/>
        </w:rPr>
      </w:pPr>
      <w:r>
        <w:rPr>
          <w:rFonts w:eastAsia="Courier New" w:cs="Courier New" w:ascii="Courier New" w:hAnsi="Courier New"/>
        </w:rPr>
        <w:t>DATED: September ___, 2001</w:t>
        <w:tab/>
        <w:t>Respectfully submitted,</w:t>
      </w:r>
    </w:p>
    <w:p>
      <w:pPr>
        <w:pStyle w:val="Body"/>
        <w:spacing w:lineRule="auto" w:line="240" w:before="240" w:after="0"/>
        <w:ind w:hanging="0" w:end="0"/>
        <w:rPr/>
      </w:pPr>
      <w:r>
        <w:rPr>
          <w:rFonts w:eastAsia="Courier New" w:cs="Courier New" w:ascii="Courier New" w:hAnsi="Courier New"/>
        </w:rPr>
        <w:tab/>
        <w:tab/>
        <w:tab/>
        <w:tab/>
        <w:tab/>
        <w:tab/>
        <w:t xml:space="preserve">ARTER &amp; HADDEN </w:t>
      </w:r>
      <w:r>
        <w:rPr>
          <w:rFonts w:eastAsia="Courier New" w:cs="Courier New" w:ascii="Courier New" w:hAnsi="Courier New"/>
          <w:sz w:val="20"/>
          <w:szCs w:val="20"/>
        </w:rPr>
        <w:t>LLP</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EDWIN W. DUNCAN</w:t>
      </w:r>
    </w:p>
    <w:p>
      <w:pPr>
        <w:pStyle w:val="Body"/>
        <w:ind w:hanging="0" w:end="0"/>
        <w:rPr>
          <w:rFonts w:ascii="Courier New" w:hAnsi="Courier New" w:eastAsia="Courier New" w:cs="Courier New"/>
        </w:rPr>
      </w:pPr>
      <w:r>
        <w:rPr>
          <w:rFonts w:eastAsia="Courier New" w:cs="Courier New" w:ascii="Courier New" w:hAnsi="Courier New"/>
        </w:rPr>
      </w:r>
    </w:p>
    <w:p>
      <w:pPr>
        <w:pStyle w:val="Body"/>
        <w:spacing w:lineRule="auto" w:line="240"/>
        <w:ind w:hanging="0" w:end="0"/>
        <w:rPr>
          <w:rFonts w:ascii="Courier New" w:hAnsi="Courier New" w:eastAsia="Courier New" w:cs="Courier New"/>
        </w:rPr>
      </w:pPr>
      <w:r>
        <w:rPr>
          <w:rFonts w:eastAsia="Courier New" w:cs="Courier New" w:ascii="Courier New" w:hAnsi="Courier New"/>
        </w:rPr>
      </w:r>
    </w:p>
    <w:p>
      <w:pPr>
        <w:pStyle w:val="Body"/>
        <w:spacing w:lineRule="auto" w:line="240"/>
        <w:rPr>
          <w:rFonts w:ascii="Courier New" w:hAnsi="Courier New" w:eastAsia="Courier New" w:cs="Courier New"/>
        </w:rPr>
      </w:pPr>
      <w:r>
        <w:rPr>
          <w:rFonts w:eastAsia="Courier New" w:cs="Courier New" w:ascii="Courier New" w:hAnsi="Courier New"/>
        </w:rPr>
        <w:tab/>
        <w:tab/>
        <w:tab/>
        <w:tab/>
        <w:tab/>
        <w:t xml:space="preserve">By: </w:t>
      </w:r>
      <w:r>
        <w:rPr>
          <w:rFonts w:eastAsia="Courier New" w:cs="Courier New" w:ascii="Courier New" w:hAnsi="Courier New"/>
          <w:u w:val="single"/>
        </w:rPr>
        <w:tab/>
        <w:tab/>
        <w:tab/>
        <w:tab/>
        <w:tab/>
        <w:tab/>
      </w:r>
    </w:p>
    <w:p>
      <w:pPr>
        <w:pStyle w:val="Body"/>
        <w:spacing w:lineRule="auto" w:line="240"/>
        <w:ind w:hanging="0" w:start="4860" w:end="0"/>
        <w:rPr>
          <w:rFonts w:ascii="Courier New" w:hAnsi="Courier New" w:eastAsia="Courier New" w:cs="Courier New"/>
        </w:rPr>
      </w:pPr>
      <w:r>
        <w:rPr>
          <w:rFonts w:eastAsia="Courier New" w:cs="Courier New" w:ascii="Courier New" w:hAnsi="Courier New"/>
        </w:rPr>
        <w:t>EDWIN W. DUNCAN</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t>Attorneys of Petitioner</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r>
    </w:p>
    <w:p>
      <w:pPr>
        <w:pStyle w:val="DoubleSpacing"/>
        <w:spacing w:lineRule="auto" w:line="240"/>
        <w:ind w:start="4320" w:end="0"/>
        <w:rPr>
          <w:rFonts w:ascii="Courier New" w:hAnsi="Courier New" w:eastAsia="Courier New" w:cs="Courier New"/>
        </w:rPr>
      </w:pPr>
      <w:r>
        <w:rPr>
          <w:rFonts w:eastAsia="Courier New" w:cs="Courier New" w:ascii="Courier New" w:hAnsi="Courier New"/>
        </w:rPr>
      </w:r>
      <w:r>
        <w:br w:type="page"/>
      </w:r>
    </w:p>
    <w:p>
      <w:pPr>
        <w:pStyle w:val="DoubleSpacing"/>
        <w:spacing w:lineRule="auto" w:line="240"/>
        <w:jc w:val="center"/>
        <w:rPr>
          <w:rFonts w:ascii="Courier New" w:hAnsi="Courier New" w:eastAsia="Courier New" w:cs="Courier New"/>
          <w:b/>
          <w:bCs/>
          <w:u w:val="single"/>
        </w:rPr>
      </w:pPr>
      <w:r>
        <w:rPr>
          <w:rFonts w:eastAsia="Courier New" w:cs="Courier New" w:ascii="Courier New" w:hAnsi="Courier New"/>
          <w:b/>
          <w:bCs/>
          <w:u w:val="single"/>
        </w:rPr>
        <w:t>VERIFICATION</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EDWIN W. DUNCAN, declare as follows:</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am one of the attorneys for the Petitioner herein.  I have read the foregoing Petition for Writ of Review and/or Mandate and/or Prohibition or Other Appropriate Relief and know its contents.  The facts alleged in the Petition are within my own personal knowledge and I know those facts to be true.  Because of my familiarity with the relevant facts pertaining to the proceeding at the Public Utilities Commission, I, rather than Petitioner, verify this Petition.</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declare under penalty of perjury under the laws of the State of California that the foregoing is true and correct and that this Verification was executed on September __, 2001 at Woodland Hills, California.</w:t>
      </w:r>
    </w:p>
    <w:p>
      <w:pPr>
        <w:pStyle w:val="DoubleSpacing"/>
        <w:spacing w:lineRule="atLeast" w:line="240"/>
        <w:rPr>
          <w:rFonts w:ascii="Courier New" w:hAnsi="Courier New" w:eastAsia="Courier New" w:cs="Courier New"/>
        </w:rPr>
      </w:pPr>
      <w:r>
        <w:rPr>
          <w:rFonts w:eastAsia="Courier New" w:cs="Courier New" w:ascii="Courier New" w:hAnsi="Courier New"/>
        </w:rPr>
      </w:r>
    </w:p>
    <w:p>
      <w:pPr>
        <w:pStyle w:val="DoubleSpacing"/>
        <w:spacing w:lineRule="atLeast" w:line="240"/>
        <w:rPr>
          <w:rFonts w:ascii="Courier New" w:hAnsi="Courier New" w:eastAsia="Courier New" w:cs="Courier New"/>
        </w:rPr>
      </w:pPr>
      <w:r>
        <w:rPr>
          <w:rFonts w:eastAsia="Courier New" w:cs="Courier New" w:ascii="Courier New" w:hAnsi="Courier New"/>
        </w:rPr>
      </w:r>
    </w:p>
    <w:p>
      <w:pPr>
        <w:pStyle w:val="DoubleSpacing"/>
        <w:spacing w:lineRule="atLeast" w:line="240"/>
        <w:rPr>
          <w:rFonts w:ascii="Courier New" w:hAnsi="Courier New" w:eastAsia="Courier New" w:cs="Courier New"/>
        </w:rPr>
      </w:pPr>
      <w:r>
        <w:rPr>
          <w:rFonts w:eastAsia="Courier New" w:cs="Courier New" w:ascii="Courier New" w:hAnsi="Courier New"/>
        </w:rPr>
        <w:tab/>
        <w:tab/>
        <w:tab/>
        <w:tab/>
        <w:tab/>
        <w:tab/>
        <w:tab/>
      </w:r>
      <w:r>
        <w:rPr>
          <w:rFonts w:eastAsia="Courier New" w:cs="Courier New" w:ascii="Courier New" w:hAnsi="Courier New"/>
          <w:u w:val="single"/>
        </w:rPr>
        <w:tab/>
        <w:tab/>
        <w:tab/>
        <w:tab/>
        <w:tab/>
      </w:r>
    </w:p>
    <w:p>
      <w:pPr>
        <w:pStyle w:val="DoubleSpacing"/>
        <w:spacing w:lineRule="atLeast" w:line="240"/>
        <w:rPr>
          <w:rFonts w:ascii="Courier New" w:hAnsi="Courier New" w:eastAsia="Courier New" w:cs="Courier New"/>
        </w:rPr>
      </w:pPr>
      <w:r>
        <w:rPr>
          <w:rFonts w:eastAsia="Courier New" w:cs="Courier New" w:ascii="Courier New" w:hAnsi="Courier New"/>
        </w:rPr>
        <w:tab/>
        <w:tab/>
        <w:tab/>
        <w:tab/>
        <w:tab/>
        <w:tab/>
        <w:tab/>
        <w:t>EDWIN W. DUNCAN</w:t>
      </w:r>
    </w:p>
    <w:p>
      <w:pPr>
        <w:pStyle w:val="DoubleSpacing"/>
        <w:spacing w:lineRule="auto" w:line="240"/>
        <w:ind w:start="5040" w:end="0"/>
        <w:rPr>
          <w:rFonts w:ascii="Courier New" w:hAnsi="Courier New" w:eastAsia="Courier New" w:cs="Courier New"/>
        </w:rPr>
      </w:pPr>
      <w:r>
        <w:rPr>
          <w:rFonts w:eastAsia="Courier New" w:cs="Courier New" w:ascii="Courier New" w:hAnsi="Courier New"/>
        </w:rPr>
      </w:r>
    </w:p>
    <w:p>
      <w:pPr>
        <w:sectPr>
          <w:footnotePr>
            <w:numFmt w:val="decimal"/>
          </w:footnotePr>
          <w:type w:val="continuous"/>
          <w:pgSz w:w="12240" w:h="15840"/>
          <w:pgMar w:left="1800" w:right="1440" w:gutter="0" w:header="0" w:top="1440" w:footer="173" w:bottom="1440"/>
          <w:formProt w:val="false"/>
          <w:titlePg/>
          <w:textDirection w:val="lrTb"/>
        </w:sectPr>
      </w:pPr>
    </w:p>
    <w:p>
      <w:pPr>
        <w:pStyle w:val="DoubleSpacing"/>
        <w:jc w:val="center"/>
        <w:rPr/>
      </w:pPr>
      <w:r>
        <w:rPr/>
      </w:r>
    </w:p>
    <w:sectPr>
      <w:headerReference w:type="default" r:id="rId10"/>
      <w:headerReference w:type="first" r:id="rId11"/>
      <w:footerReference w:type="default" r:id="rId12"/>
      <w:footerReference w:type="first" r:id="rId13"/>
      <w:footnotePr>
        <w:numFmt w:val="decimal"/>
      </w:footnotePr>
      <w:type w:val="nextPage"/>
      <w:pgSz w:w="12240" w:h="15840"/>
      <w:pgMar w:left="1800" w:right="1440" w:gutter="0" w:header="461" w:top="1440" w:footer="173" w:bottom="1440"/>
      <w:pgNumType w:start="1" w:fmt="lowerRoman"/>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19" w:type="dxa"/>
      <w:jc w:val="start"/>
      <w:tblInd w:w="-1786" w:type="dxa"/>
      <w:tblLayout w:type="fixed"/>
      <w:tblCellMar>
        <w:top w:w="0" w:type="dxa"/>
        <w:start w:w="108" w:type="dxa"/>
        <w:bottom w:w="0" w:type="dxa"/>
        <w:end w:w="108" w:type="dxa"/>
      </w:tblCellMar>
    </w:tblPr>
    <w:tblGrid>
      <w:gridCol w:w="1886"/>
      <w:gridCol w:w="3787"/>
      <w:gridCol w:w="1800"/>
      <w:gridCol w:w="3946"/>
    </w:tblGrid>
    <w:tr>
      <w:trPr>
        <w:trHeight w:val="1000" w:hRule="exact"/>
      </w:trPr>
      <w:tc>
        <w:tcPr>
          <w:tcW w:w="1886" w:type="dxa"/>
          <w:tcBorders>
            <w:top w:val="dashed" w:sz="6" w:space="0" w:color="auto"/>
            <w:start w:val="dashed" w:sz="6" w:space="0" w:color="auto"/>
            <w:bottom w:val="dashed" w:sz="6" w:space="0" w:color="auto"/>
            <w:end w:val="dashed" w:sz="6" w:space="0" w:color="auto"/>
          </w:tcBorders>
        </w:tcPr>
        <w:p>
          <w:pPr>
            <w:pStyle w:val="Pline3"/>
            <w:snapToGrid w:val="false"/>
            <w:rPr/>
          </w:pPr>
          <w:r>
            <w:rPr/>
          </w:r>
        </w:p>
      </w:tc>
      <w:tc>
        <w:tcPr>
          <w:tcW w:w="3787" w:type="dxa"/>
          <w:tcBorders>
            <w:top w:val="dashed" w:sz="6" w:space="0" w:color="auto"/>
            <w:start w:val="dashed" w:sz="6" w:space="0" w:color="auto"/>
            <w:bottom w:val="dashed" w:sz="6" w:space="0" w:color="auto"/>
            <w:end w:val="dashed" w:sz="6" w:space="0" w:color="auto"/>
          </w:tcBorders>
        </w:tcPr>
        <w:p>
          <w:pPr>
            <w:pStyle w:val="Footer"/>
            <w:snapToGrid w:val="false"/>
            <w:rPr/>
          </w:pPr>
          <w:r>
            <w:rPr/>
          </w:r>
        </w:p>
        <w:p>
          <w:pPr>
            <w:pStyle w:val="Footer"/>
            <w:rPr/>
          </w:pPr>
          <w:r>
            <w:rPr/>
            <w:t>64989.1</w:t>
          </w:r>
        </w:p>
        <w:p>
          <w:pPr>
            <w:pStyle w:val="FooterTxt"/>
            <w:tabs>
              <w:tab w:val="clear" w:pos="4320"/>
              <w:tab w:val="clear" w:pos="8640"/>
            </w:tabs>
            <w:spacing w:before="0" w:after="0"/>
            <w:rPr/>
          </w:pPr>
          <w:r>
            <w:rPr/>
            <w:t>00000/00850</w:t>
          </w:r>
        </w:p>
      </w:tc>
      <w:tc>
        <w:tcPr>
          <w:tcW w:w="1800" w:type="dxa"/>
          <w:tcBorders>
            <w:top w:val="dashed" w:sz="6" w:space="0" w:color="auto"/>
            <w:start w:val="dashed" w:sz="6" w:space="0" w:color="auto"/>
            <w:bottom w:val="dashed" w:sz="6" w:space="0" w:color="auto"/>
            <w:end w:val="dashed" w:sz="6" w:space="0" w:color="auto"/>
          </w:tcBorders>
        </w:tcPr>
        <w:p>
          <w:pPr>
            <w:pStyle w:val="Footer"/>
            <w:tabs>
              <w:tab w:val="clear" w:pos="4320"/>
              <w:tab w:val="clear" w:pos="9360"/>
            </w:tabs>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c>
      <w:tc>
        <w:tcPr>
          <w:tcW w:w="3946" w:type="dxa"/>
          <w:tcBorders>
            <w:top w:val="dashed" w:sz="6" w:space="0" w:color="auto"/>
            <w:start w:val="dashed" w:sz="6" w:space="0" w:color="auto"/>
            <w:bottom w:val="dashed" w:sz="6" w:space="0" w:color="auto"/>
            <w:end w:val="dashed" w:sz="6" w:space="0" w:color="auto"/>
          </w:tcBorders>
        </w:tcPr>
        <w:p>
          <w:pPr>
            <w:pStyle w:val="FooterTxt"/>
            <w:snapToGrid w:val="false"/>
            <w:spacing w:before="240" w:after="0"/>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p>
    <w:pPr>
      <w:pStyle w:val="Footer"/>
      <w:rPr/>
    </w:pPr>
    <w:r>
      <w:rPr/>
      <w:t>64989.1</w:t>
    </w:r>
  </w:p>
  <w:p>
    <w:pPr>
      <w:pStyle w:val="Footer"/>
      <w:rPr/>
    </w:pPr>
    <w:r>
      <w:rPr/>
      <w:t>00000/00850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64989.1</w:t>
    </w:r>
  </w:p>
  <w:p>
    <w:pPr>
      <w:pStyle w:val="Footer"/>
      <w:rPr>
        <w:rStyle w:val="PageNumber"/>
      </w:rPr>
    </w:pPr>
    <w:r>
      <w:rPr/>
      <w:t>00000/00850</w:t>
      <w:tab/>
    </w:r>
  </w:p>
  <w:p>
    <w:pPr>
      <w:pStyle w:val="Footer"/>
      <w:rPr>
        <w:rStyle w:val="PageNumb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19" w:type="dxa"/>
      <w:jc w:val="start"/>
      <w:tblInd w:w="-1786" w:type="dxa"/>
      <w:tblLayout w:type="fixed"/>
      <w:tblCellMar>
        <w:top w:w="0" w:type="dxa"/>
        <w:start w:w="108" w:type="dxa"/>
        <w:bottom w:w="0" w:type="dxa"/>
        <w:end w:w="108" w:type="dxa"/>
      </w:tblCellMar>
    </w:tblPr>
    <w:tblGrid>
      <w:gridCol w:w="1886"/>
      <w:gridCol w:w="3787"/>
      <w:gridCol w:w="1800"/>
      <w:gridCol w:w="3946"/>
    </w:tblGrid>
    <w:tr>
      <w:trPr>
        <w:trHeight w:val="1000" w:hRule="exact"/>
      </w:trPr>
      <w:tc>
        <w:tcPr>
          <w:tcW w:w="1886" w:type="dxa"/>
          <w:tcBorders>
            <w:top w:val="dashed" w:sz="6" w:space="0" w:color="auto"/>
            <w:start w:val="dashed" w:sz="6" w:space="0" w:color="auto"/>
            <w:bottom w:val="dashed" w:sz="6" w:space="0" w:color="auto"/>
            <w:end w:val="dashed" w:sz="6" w:space="0" w:color="auto"/>
          </w:tcBorders>
        </w:tcPr>
        <w:p>
          <w:pPr>
            <w:pStyle w:val="Pline3"/>
            <w:snapToGrid w:val="false"/>
            <w:rPr/>
          </w:pPr>
          <w:r>
            <w:rPr/>
          </w:r>
        </w:p>
      </w:tc>
      <w:tc>
        <w:tcPr>
          <w:tcW w:w="3787" w:type="dxa"/>
          <w:tcBorders>
            <w:top w:val="dashed" w:sz="6" w:space="0" w:color="auto"/>
            <w:start w:val="dashed" w:sz="6" w:space="0" w:color="auto"/>
            <w:bottom w:val="dashed" w:sz="6" w:space="0" w:color="auto"/>
            <w:end w:val="dashed" w:sz="6" w:space="0" w:color="auto"/>
          </w:tcBorders>
        </w:tcPr>
        <w:p>
          <w:pPr>
            <w:pStyle w:val="Footer"/>
            <w:snapToGrid w:val="false"/>
            <w:rPr/>
          </w:pPr>
          <w:r>
            <w:rPr/>
          </w:r>
        </w:p>
        <w:p>
          <w:pPr>
            <w:pStyle w:val="Footer"/>
            <w:rPr/>
          </w:pPr>
          <w:r>
            <w:rPr/>
          </w:r>
        </w:p>
        <w:p>
          <w:pPr>
            <w:pStyle w:val="Footer"/>
            <w:rPr/>
          </w:pPr>
          <w:r>
            <w:rPr/>
            <w:t>64989.1</w:t>
          </w:r>
        </w:p>
        <w:p>
          <w:pPr>
            <w:pStyle w:val="FooterTxt"/>
            <w:tabs>
              <w:tab w:val="clear" w:pos="4320"/>
              <w:tab w:val="clear" w:pos="8640"/>
            </w:tabs>
            <w:spacing w:before="0" w:after="0"/>
            <w:rPr/>
          </w:pPr>
          <w:r>
            <w:rPr/>
            <w:t>00000/00850</w:t>
          </w:r>
        </w:p>
      </w:tc>
      <w:tc>
        <w:tcPr>
          <w:tcW w:w="1800" w:type="dxa"/>
          <w:tcBorders>
            <w:top w:val="dashed" w:sz="6" w:space="0" w:color="auto"/>
            <w:start w:val="dashed" w:sz="6" w:space="0" w:color="auto"/>
            <w:bottom w:val="dashed" w:sz="6" w:space="0" w:color="auto"/>
            <w:end w:val="dashed" w:sz="6" w:space="0" w:color="auto"/>
          </w:tcBorders>
        </w:tcPr>
        <w:p>
          <w:pPr>
            <w:pStyle w:val="Footer"/>
            <w:tabs>
              <w:tab w:val="clear" w:pos="4320"/>
              <w:tab w:val="clear" w:pos="9360"/>
            </w:tabs>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c>
      <w:tc>
        <w:tcPr>
          <w:tcW w:w="3946" w:type="dxa"/>
          <w:tcBorders>
            <w:top w:val="dashed" w:sz="6" w:space="0" w:color="auto"/>
            <w:start w:val="dashed" w:sz="6" w:space="0" w:color="auto"/>
            <w:bottom w:val="dashed" w:sz="6" w:space="0" w:color="auto"/>
            <w:end w:val="dashed" w:sz="6" w:space="0" w:color="auto"/>
          </w:tcBorders>
        </w:tcPr>
        <w:p>
          <w:pPr>
            <w:pStyle w:val="FooterTxt"/>
            <w:snapToGrid w:val="false"/>
            <w:spacing w:before="240" w:after="0"/>
            <w:jc w:val="end"/>
            <w:rPr/>
          </w:pPr>
          <w:r>
            <w:rPr/>
          </w:r>
        </w:p>
      </w:tc>
    </w:tr>
  </w:tbl>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19" w:type="dxa"/>
      <w:jc w:val="start"/>
      <w:tblInd w:w="-1786" w:type="dxa"/>
      <w:tblLayout w:type="fixed"/>
      <w:tblCellMar>
        <w:top w:w="0" w:type="dxa"/>
        <w:start w:w="108" w:type="dxa"/>
        <w:bottom w:w="0" w:type="dxa"/>
        <w:end w:w="108" w:type="dxa"/>
      </w:tblCellMar>
    </w:tblPr>
    <w:tblGrid>
      <w:gridCol w:w="1886"/>
      <w:gridCol w:w="3787"/>
      <w:gridCol w:w="1800"/>
      <w:gridCol w:w="3946"/>
    </w:tblGrid>
    <w:tr>
      <w:trPr>
        <w:trHeight w:val="960" w:hRule="exact"/>
      </w:trPr>
      <w:tc>
        <w:tcPr>
          <w:tcW w:w="1886" w:type="dxa"/>
          <w:tcBorders>
            <w:top w:val="dashed" w:sz="6" w:space="0" w:color="auto"/>
            <w:start w:val="dashed" w:sz="6" w:space="0" w:color="auto"/>
            <w:bottom w:val="dashed" w:sz="6" w:space="0" w:color="auto"/>
            <w:end w:val="dashed" w:sz="6" w:space="0" w:color="auto"/>
          </w:tcBorders>
        </w:tcPr>
        <w:p>
          <w:pPr>
            <w:pStyle w:val="Pline3"/>
            <w:snapToGrid w:val="false"/>
            <w:rPr/>
          </w:pPr>
          <w:r>
            <w:rPr/>
          </w:r>
        </w:p>
      </w:tc>
      <w:tc>
        <w:tcPr>
          <w:tcW w:w="3787" w:type="dxa"/>
          <w:tcBorders>
            <w:top w:val="dashed" w:sz="6" w:space="0" w:color="auto"/>
            <w:start w:val="dashed" w:sz="6" w:space="0" w:color="auto"/>
            <w:bottom w:val="dashed" w:sz="6" w:space="0" w:color="auto"/>
            <w:end w:val="dashed" w:sz="6" w:space="0" w:color="auto"/>
          </w:tcBorders>
        </w:tcPr>
        <w:p>
          <w:pPr>
            <w:pStyle w:val="Footer"/>
            <w:snapToGrid w:val="false"/>
            <w:rPr/>
          </w:pPr>
          <w:r>
            <w:rPr/>
          </w:r>
        </w:p>
        <w:p>
          <w:pPr>
            <w:pStyle w:val="Footer"/>
            <w:rPr/>
          </w:pPr>
          <w:r>
            <w:rPr/>
          </w:r>
        </w:p>
        <w:p>
          <w:pPr>
            <w:pStyle w:val="Footer"/>
            <w:rPr/>
          </w:pPr>
          <w:r>
            <w:rPr/>
            <w:t>64989.1</w:t>
          </w:r>
        </w:p>
        <w:p>
          <w:pPr>
            <w:pStyle w:val="FooterTxt"/>
            <w:spacing w:before="0" w:after="0"/>
            <w:rPr/>
          </w:pPr>
          <w:r>
            <w:rPr/>
            <w:t>00000/00850</w:t>
          </w:r>
        </w:p>
      </w:tc>
      <w:tc>
        <w:tcPr>
          <w:tcW w:w="1800" w:type="dxa"/>
          <w:tcBorders>
            <w:top w:val="dashed" w:sz="6" w:space="0" w:color="auto"/>
            <w:start w:val="dashed" w:sz="6" w:space="0" w:color="auto"/>
            <w:bottom w:val="dashed" w:sz="6" w:space="0" w:color="auto"/>
            <w:end w:val="dashed" w:sz="6" w:space="0" w:color="auto"/>
          </w:tcBorders>
        </w:tcPr>
        <w:p>
          <w:pPr>
            <w:pStyle w:val="Footer"/>
            <w:tabs>
              <w:tab w:val="clear" w:pos="4320"/>
              <w:tab w:val="clear" w:pos="9360"/>
            </w:tabs>
            <w:spacing w:before="240" w:after="0"/>
            <w:jc w:val="center"/>
            <w:rPr>
              <w:sz w:val="24"/>
              <w:szCs w:val="24"/>
            </w:rPr>
          </w:pPr>
          <w:r>
            <w:rPr>
              <w:sz w:val="24"/>
              <w:szCs w:val="24"/>
            </w:rPr>
            <w:t>i</w:t>
          </w:r>
        </w:p>
      </w:tc>
      <w:tc>
        <w:tcPr>
          <w:tcW w:w="3946" w:type="dxa"/>
          <w:tcBorders>
            <w:top w:val="dashed" w:sz="6" w:space="0" w:color="auto"/>
            <w:start w:val="dashed" w:sz="6" w:space="0" w:color="auto"/>
            <w:bottom w:val="dashed" w:sz="6" w:space="0" w:color="auto"/>
            <w:end w:val="dashed" w:sz="6" w:space="0" w:color="auto"/>
          </w:tcBorders>
        </w:tcPr>
        <w:p>
          <w:pPr>
            <w:pStyle w:val="FooterTxt"/>
            <w:tabs>
              <w:tab w:val="clear" w:pos="4320"/>
              <w:tab w:val="clear" w:pos="8640"/>
            </w:tabs>
            <w:snapToGrid w:val="false"/>
            <w:spacing w:before="240" w:after="0"/>
            <w:jc w:val="end"/>
            <w:rPr>
              <w:sz w:val="24"/>
              <w:szCs w:val="24"/>
            </w:rPr>
          </w:pPr>
          <w:r>
            <w:rPr>
              <w:sz w:val="24"/>
              <w:szCs w:val="24"/>
            </w:rPr>
          </w:r>
        </w:p>
      </w:tc>
    </w:tr>
  </w:tbl>
  <w:p>
    <w:pPr>
      <w:pStyle w:val="Footer"/>
      <w:tabs>
        <w:tab w:val="clear" w:pos="4320"/>
        <w:tab w:val="clear" w:pos="9360"/>
      </w:tabs>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40" w:before="0" w:after="240"/>
        <w:rPr/>
      </w:pPr>
      <w:r>
        <w:rPr>
          <w:rStyle w:val="FootnoteCharacters"/>
        </w:rPr>
        <w:footnoteRef/>
      </w:r>
      <w:r>
        <w:rPr/>
        <w:tab/>
      </w:r>
      <w:r>
        <w:rPr>
          <w:rStyle w:val="FootnoteCharacters"/>
          <w:b w:val="false"/>
          <w:bCs w:val="false"/>
        </w:rPr>
        <w:t>?</w:t>
      </w:r>
      <w:r>
        <w:rPr>
          <w:b/>
          <w:bCs/>
        </w:rPr>
        <w:t xml:space="preserve"> </w:t>
      </w:r>
      <w:r>
        <w:rPr/>
        <w:tab/>
        <w:t>Petitioner is a member of the Alliance For Retail Energy Markets and Western Power Trading Forum and, together with other Alliance members, submitted comments on September 4, 2001, about the Commission’s then proposed action.</w:t>
      </w:r>
    </w:p>
  </w:footnote>
  <w:footnote w:id="3">
    <w:p>
      <w:pPr>
        <w:pStyle w:val="FootnoteText"/>
        <w:spacing w:lineRule="exact" w:line="240" w:before="0" w:after="240"/>
        <w:rPr/>
      </w:pPr>
      <w:r>
        <w:rPr>
          <w:rStyle w:val="FootnoteCharacters"/>
        </w:rPr>
        <w:footnoteRef/>
      </w:r>
      <w:r>
        <w:rPr/>
        <w:tab/>
      </w:r>
      <w:r>
        <w:rPr>
          <w:rStyle w:val="FootnoteCharacters"/>
        </w:rPr>
        <w:t>?</w:t>
      </w:r>
      <w:r>
        <w:rPr/>
        <w:t xml:space="preserve"> </w:t>
      </w:r>
      <w:bookmarkStart w:id="6" w:name="zImInFootnote"/>
      <w:bookmarkEnd w:id="6"/>
      <w:r>
        <w:rPr/>
        <w:tab/>
        <w:t>The Exhibits are paginated consecutively from 1 through __ in the Exhibit Folio filed concurrently with this Petition, and page references in this Petition and the Memorandum of Points and Authorities are to the consecutive pagination.</w:t>
      </w:r>
    </w:p>
  </w:footnote>
  <w:footnote w:id="4">
    <w:p>
      <w:pPr>
        <w:pStyle w:val="FootnoteText"/>
        <w:spacing w:lineRule="exact" w:line="240" w:before="0" w:after="240"/>
        <w:rPr/>
      </w:pPr>
      <w:r>
        <w:rPr>
          <w:rStyle w:val="FootnoteCharacters"/>
        </w:rPr>
        <w:footnoteRef/>
      </w:r>
      <w:r>
        <w:rPr/>
        <w:tab/>
      </w:r>
      <w:r>
        <w:rPr>
          <w:rStyle w:val="FootnoteCharacters"/>
        </w:rPr>
        <w:t>?</w:t>
      </w:r>
      <w:r>
        <w:rPr/>
        <w:t xml:space="preserve"> </w:t>
        <w:tab/>
        <w:t xml:space="preserve">More current figures are not available because the Commission </w:t>
      </w:r>
      <w:r>
        <w:rPr>
          <w:b/>
          <w:bCs/>
        </w:rPr>
        <w:t>refused</w:t>
      </w:r>
      <w:r>
        <w:rPr/>
        <w:t xml:space="preserve"> to allow hearings to be held.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936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500" w:type="dxa"/>
      <w:jc w:val="start"/>
      <w:tblInd w:w="-2520" w:type="dxa"/>
      <w:tblLayout w:type="fixed"/>
      <w:tblCellMar>
        <w:top w:w="0" w:type="dxa"/>
        <w:start w:w="0" w:type="dxa"/>
        <w:bottom w:w="0" w:type="dxa"/>
        <w:end w:w="0" w:type="dxa"/>
      </w:tblCellMar>
    </w:tblPr>
    <w:tblGrid>
      <w:gridCol w:w="64"/>
      <w:gridCol w:w="13436"/>
    </w:tblGrid>
    <w:tr>
      <w:trPr>
        <w:trHeight w:val="14880" w:hRule="exact"/>
      </w:trPr>
      <w:tc>
        <w:tcPr>
          <w:tcW w:w="64" w:type="dxa"/>
          <w:tcBorders>
            <w:top w:val="dashed" w:sz="6" w:space="0" w:color="auto"/>
            <w:start w:val="dashed" w:sz="6" w:space="0" w:color="auto"/>
            <w:bottom w:val="dashed" w:sz="6" w:space="0" w:color="auto"/>
            <w:end w:val="double" w:sz="6" w:space="0" w:color="000000"/>
          </w:tcBorders>
        </w:tcPr>
        <w:p>
          <w:pPr>
            <w:pStyle w:val="HdrLineNumbers"/>
            <w:snapToGrid w:val="false"/>
            <w:spacing w:before="480" w:after="0"/>
            <w:rPr/>
          </w:pPr>
          <w:r>
            <w:rPr/>
          </w:r>
        </w:p>
      </w:tc>
      <w:tc>
        <w:tcPr>
          <w:tcW w:w="13436" w:type="dxa"/>
          <w:tcBorders>
            <w:top w:val="dashed" w:sz="6" w:space="0" w:color="auto"/>
            <w:start w:val="dashed" w:sz="6" w:space="0" w:color="auto"/>
            <w:bottom w:val="dashed" w:sz="6" w:space="0" w:color="auto"/>
            <w:end w:val="single" w:sz="6" w:space="0" w:color="000000"/>
          </w:tcBorders>
        </w:tcPr>
        <w:p>
          <w:pPr>
            <w:pStyle w:val="Normal"/>
            <w:snapToGrid w:val="false"/>
            <w:rPr/>
          </w:pPr>
          <w:r>
            <w:rPr/>
          </w:r>
        </w:p>
      </w:tc>
    </w:tr>
  </w:tbl>
  <w:p>
    <w:pPr>
      <w:pStyle w:val="Header"/>
      <w:tabs>
        <w:tab w:val="clear" w:pos="4320"/>
        <w:tab w:val="clear" w:pos="9360"/>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1"/>
      <w:pStyle w:val="Heading2"/>
      <w:numFmt w:val="upperLetter"/>
      <w:lvlText w:val="%2"/>
      <w:lvlJc w:val="start"/>
      <w:pPr>
        <w:tabs>
          <w:tab w:val="num" w:pos="0"/>
        </w:tabs>
        <w:ind w:start="0" w:hanging="0"/>
      </w:pPr>
    </w:lvl>
    <w:lvl w:ilvl="2">
      <w:start w:val="1"/>
      <w:pStyle w:val="Heading3"/>
      <w:numFmt w:val="decimal"/>
      <w:lvlText w:val="%3"/>
      <w:lvlJc w:val="start"/>
      <w:pPr>
        <w:tabs>
          <w:tab w:val="num" w:pos="0"/>
        </w:tabs>
        <w:ind w:start="0" w:hanging="0"/>
      </w:pPr>
    </w:lvl>
    <w:lvl w:ilvl="3">
      <w:start w:val="1"/>
      <w:pStyle w:val="Heading4"/>
      <w:numFmt w:val="lowerLetter"/>
      <w:lvlText w:val="%4"/>
      <w:lvlJc w:val="start"/>
      <w:pPr>
        <w:tabs>
          <w:tab w:val="num" w:pos="0"/>
        </w:tabs>
        <w:ind w:start="0" w:hanging="0"/>
      </w:pPr>
    </w:lvl>
    <w:lvl w:ilvl="4">
      <w:start w:val="1"/>
      <w:pStyle w:val="Heading5"/>
      <w:numFmt w:val="decimal"/>
      <w:lvlText w:val="%5"/>
      <w:lvlJc w:val="start"/>
      <w:pPr>
        <w:tabs>
          <w:tab w:val="num" w:pos="0"/>
        </w:tabs>
        <w:ind w:start="0" w:hanging="0"/>
      </w:pPr>
    </w:lvl>
    <w:lvl w:ilvl="5">
      <w:start w:val="1"/>
      <w:pStyle w:val="Heading6"/>
      <w:numFmt w:val="lowerLetter"/>
      <w:lvlText w:val="%6"/>
      <w:lvlJc w:val="start"/>
      <w:pPr>
        <w:tabs>
          <w:tab w:val="num" w:pos="0"/>
        </w:tabs>
        <w:ind w:start="0" w:hanging="0"/>
      </w:pPr>
    </w:lvl>
    <w:lvl w:ilvl="6">
      <w:start w:val="1"/>
      <w:pStyle w:val="Heading7"/>
      <w:numFmt w:val="lowerRoman"/>
      <w:lvlText w:val="%7"/>
      <w:lvlJc w:val="start"/>
      <w:pPr>
        <w:tabs>
          <w:tab w:val="num" w:pos="0"/>
        </w:tabs>
        <w:ind w:start="0" w:hanging="0"/>
      </w:pPr>
    </w:lvl>
    <w:lvl w:ilvl="7">
      <w:start w:val="1"/>
      <w:pStyle w:val="Heading8"/>
      <w:numFmt w:val="lowerLetter"/>
      <w:lvlText w:val="%8"/>
      <w:lvlJc w:val="start"/>
      <w:pPr>
        <w:tabs>
          <w:tab w:val="num" w:pos="0"/>
        </w:tabs>
        <w:ind w:start="0" w:hanging="0"/>
      </w:pPr>
    </w:lvl>
    <w:lvl w:ilvl="8">
      <w:start w:val="1"/>
      <w:pStyle w:val="Heading9"/>
      <w:numFmt w:val="lowerRoman"/>
      <w:lvlText w:val="%9"/>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decimal"/>
      <w:lvlText w:val="%1. "/>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TableofAuthorities"/>
    <w:qFormat/>
    <w:pPr>
      <w:keepNext w:val="true"/>
      <w:keepLines/>
      <w:numPr>
        <w:ilvl w:val="0"/>
        <w:numId w:val="1"/>
      </w:numPr>
      <w:spacing w:lineRule="exact" w:line="480" w:before="0" w:after="240"/>
      <w:jc w:val="center"/>
      <w:outlineLvl w:val="0"/>
    </w:pPr>
    <w:rPr>
      <w:b/>
      <w:bCs/>
    </w:rPr>
  </w:style>
  <w:style w:type="paragraph" w:styleId="Heading2">
    <w:name w:val="heading 2"/>
    <w:basedOn w:val="Normal"/>
    <w:next w:val="TableofAuthorities"/>
    <w:qFormat/>
    <w:pPr>
      <w:keepNext w:val="true"/>
      <w:keepLines/>
      <w:numPr>
        <w:ilvl w:val="1"/>
        <w:numId w:val="1"/>
      </w:numPr>
      <w:spacing w:lineRule="exact" w:line="480"/>
      <w:ind w:hanging="720" w:start="0" w:end="0"/>
      <w:outlineLvl w:val="1"/>
    </w:pPr>
    <w:rPr>
      <w:rFonts w:ascii="Courier New" w:hAnsi="Courier New" w:eastAsia="Courier New" w:cs="Courier New"/>
      <w:b/>
      <w:bCs/>
    </w:rPr>
  </w:style>
  <w:style w:type="paragraph" w:styleId="Heading3">
    <w:name w:val="heading 3"/>
    <w:basedOn w:val="Normal"/>
    <w:next w:val="TableofAuthorities"/>
    <w:qFormat/>
    <w:pPr>
      <w:keepNext w:val="true"/>
      <w:keepLines/>
      <w:numPr>
        <w:ilvl w:val="2"/>
        <w:numId w:val="1"/>
      </w:numPr>
      <w:spacing w:lineRule="exact" w:line="480" w:before="0" w:after="240"/>
      <w:ind w:hanging="0" w:start="1440" w:end="0"/>
      <w:outlineLvl w:val="2"/>
    </w:pPr>
    <w:rPr>
      <w:b/>
      <w:bCs/>
    </w:rPr>
  </w:style>
  <w:style w:type="paragraph" w:styleId="Heading4">
    <w:name w:val="heading 4"/>
    <w:basedOn w:val="Normal"/>
    <w:next w:val="TableofAuthorities"/>
    <w:qFormat/>
    <w:pPr>
      <w:keepNext w:val="true"/>
      <w:keepLines/>
      <w:numPr>
        <w:ilvl w:val="3"/>
        <w:numId w:val="1"/>
      </w:numPr>
      <w:spacing w:lineRule="exact" w:line="480"/>
      <w:ind w:firstLine="720" w:start="0" w:end="0"/>
      <w:outlineLvl w:val="3"/>
    </w:pPr>
    <w:rPr/>
  </w:style>
  <w:style w:type="paragraph" w:styleId="Heading5">
    <w:name w:val="heading 5"/>
    <w:basedOn w:val="Normal"/>
    <w:next w:val="TableofAuthorities"/>
    <w:qFormat/>
    <w:pPr>
      <w:keepNext w:val="true"/>
      <w:keepLines/>
      <w:numPr>
        <w:ilvl w:val="4"/>
        <w:numId w:val="1"/>
      </w:numPr>
      <w:spacing w:lineRule="exact" w:line="480" w:before="0" w:after="240"/>
      <w:ind w:hanging="0" w:start="4320" w:end="0"/>
      <w:outlineLvl w:val="4"/>
    </w:pPr>
    <w:rPr>
      <w:b/>
      <w:bCs/>
    </w:rPr>
  </w:style>
  <w:style w:type="paragraph" w:styleId="Heading6">
    <w:name w:val="heading 6"/>
    <w:basedOn w:val="Normal"/>
    <w:next w:val="TableofAuthorities"/>
    <w:qFormat/>
    <w:pPr>
      <w:keepNext w:val="true"/>
      <w:keepLines/>
      <w:numPr>
        <w:ilvl w:val="5"/>
        <w:numId w:val="1"/>
      </w:numPr>
      <w:spacing w:lineRule="exact" w:line="480" w:before="0" w:after="240"/>
      <w:ind w:hanging="0" w:start="5760" w:end="0"/>
      <w:outlineLvl w:val="5"/>
    </w:pPr>
    <w:rPr>
      <w:b/>
      <w:bCs/>
    </w:rPr>
  </w:style>
  <w:style w:type="paragraph" w:styleId="Heading7">
    <w:name w:val="heading 7"/>
    <w:basedOn w:val="Normal"/>
    <w:next w:val="TableofAuthorities"/>
    <w:qFormat/>
    <w:pPr>
      <w:keepNext w:val="true"/>
      <w:keepLines/>
      <w:numPr>
        <w:ilvl w:val="6"/>
        <w:numId w:val="1"/>
      </w:numPr>
      <w:spacing w:lineRule="exact" w:line="480" w:before="0" w:after="240"/>
      <w:ind w:hanging="0" w:start="7200" w:end="0"/>
      <w:outlineLvl w:val="6"/>
    </w:pPr>
    <w:rPr>
      <w:b/>
      <w:bCs/>
    </w:rPr>
  </w:style>
  <w:style w:type="paragraph" w:styleId="Heading8">
    <w:name w:val="heading 8"/>
    <w:basedOn w:val="Normal"/>
    <w:next w:val="TableofAuthorities"/>
    <w:qFormat/>
    <w:pPr>
      <w:keepNext w:val="true"/>
      <w:keepLines/>
      <w:numPr>
        <w:ilvl w:val="7"/>
        <w:numId w:val="1"/>
      </w:numPr>
      <w:spacing w:lineRule="exact" w:line="480" w:before="0" w:after="240"/>
      <w:ind w:hanging="0" w:start="8640" w:end="0"/>
      <w:outlineLvl w:val="7"/>
    </w:pPr>
    <w:rPr>
      <w:b/>
      <w:bCs/>
    </w:rPr>
  </w:style>
  <w:style w:type="paragraph" w:styleId="Heading9">
    <w:name w:val="heading 9"/>
    <w:basedOn w:val="Normal"/>
    <w:next w:val="TableofAuthorities"/>
    <w:qFormat/>
    <w:pPr>
      <w:keepNext w:val="true"/>
      <w:keepLines/>
      <w:numPr>
        <w:ilvl w:val="8"/>
        <w:numId w:val="1"/>
      </w:numPr>
      <w:spacing w:lineRule="exact" w:line="480" w:before="0" w:after="240"/>
      <w:ind w:hanging="0" w:start="100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b/>
      <w:bCs/>
      <w:vertAlign w:val="superscript"/>
    </w:rPr>
  </w:style>
  <w:style w:type="character" w:styleId="PageNumber">
    <w:name w:val="page number"/>
    <w:basedOn w:val="DefaultParagraphFont"/>
    <w:rPr>
      <w:rFonts w:ascii="Courier New" w:hAnsi="Courier New" w:eastAsia="Courier New" w:cs="Courier New"/>
      <w:sz w:val="24"/>
      <w:szCs w:val="24"/>
    </w:rPr>
  </w:style>
  <w:style w:type="character" w:styleId="LineNumber">
    <w:name w:val="lin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DoubleSpacing"/>
    <w:qFormat/>
    <w:pPr>
      <w:spacing w:lineRule="exact" w:line="480"/>
    </w:pPr>
    <w:rPr/>
  </w:style>
  <w:style w:type="paragraph" w:styleId="Index">
    <w:name w:val="Index"/>
    <w:basedOn w:val="Normal"/>
    <w:qFormat/>
    <w:pPr>
      <w:suppressLineNumbers/>
    </w:pPr>
    <w:rPr>
      <w:rFonts w:cs="NotoSans NF"/>
    </w:rPr>
  </w:style>
  <w:style w:type="paragraph" w:styleId="Body">
    <w:name w:val="Body"/>
    <w:basedOn w:val="Normal"/>
    <w:qFormat/>
    <w:pPr>
      <w:widowControl/>
      <w:spacing w:lineRule="exact" w:line="480"/>
      <w:ind w:firstLine="720" w:start="0" w:end="0"/>
    </w:pPr>
    <w:rPr/>
  </w:style>
  <w:style w:type="paragraph" w:styleId="SingleSpacing">
    <w:name w:val="Single Spacing"/>
    <w:basedOn w:val="Normal"/>
    <w:qFormat/>
    <w:pPr>
      <w:spacing w:lineRule="exact" w:line="240"/>
    </w:pPr>
    <w:rPr/>
  </w:style>
  <w:style w:type="paragraph" w:styleId="Center">
    <w:name w:val="Center"/>
    <w:basedOn w:val="SingleSpacing"/>
    <w:qFormat/>
    <w:pPr>
      <w:spacing w:before="0" w:after="240"/>
      <w:jc w:val="center"/>
    </w:pPr>
    <w:rPr/>
  </w:style>
  <w:style w:type="paragraph" w:styleId="zCenter">
    <w:name w:val="zCenter"/>
    <w:basedOn w:val="Center"/>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rFonts w:ascii="Courier New" w:hAnsi="Courier New" w:eastAsia="Courier New" w:cs="Courier New"/>
      <w:sz w:val="14"/>
      <w:szCs w:val="14"/>
    </w:rPr>
  </w:style>
  <w:style w:type="paragraph" w:styleId="BodyFlush">
    <w:name w:val="BodyFlush"/>
    <w:basedOn w:val="Normal"/>
    <w:qFormat/>
    <w:pPr>
      <w:spacing w:before="240" w:after="0"/>
    </w:pPr>
    <w:rPr/>
  </w:style>
  <w:style w:type="paragraph" w:styleId="Divider">
    <w:name w:val="Divider"/>
    <w:basedOn w:val="Normal"/>
    <w:next w:val="Normal"/>
    <w:qFormat/>
    <w:pPr>
      <w:pBdr>
        <w:bottom w:val="single" w:sz="6" w:space="0" w:color="000000"/>
      </w:pBdr>
      <w:spacing w:lineRule="exact" w:line="240"/>
    </w:pPr>
    <w:rPr/>
  </w:style>
  <w:style w:type="paragraph" w:styleId="DoubleSpacing">
    <w:name w:val="Double Spacing"/>
    <w:basedOn w:val="Normal"/>
    <w:qFormat/>
    <w:pPr>
      <w:spacing w:lineRule="exact" w:line="480"/>
    </w:pPr>
    <w:rPr/>
  </w:style>
  <w:style w:type="paragraph" w:styleId="FootnoteText">
    <w:name w:val="footnote text"/>
    <w:basedOn w:val="Normal"/>
    <w:pPr>
      <w:tabs>
        <w:tab w:val="clear" w:pos="720"/>
        <w:tab w:val="left" w:pos="360" w:leader="none"/>
      </w:tabs>
      <w:spacing w:lineRule="exact" w:line="240" w:before="0" w:after="240"/>
    </w:pPr>
    <w:rPr>
      <w:rFonts w:ascii="Courier New" w:hAnsi="Courier New" w:eastAsia="Courier New" w:cs="Courier New"/>
    </w:rPr>
  </w:style>
  <w:style w:type="paragraph" w:styleId="HeadingTitle">
    <w:name w:val="Heading Title"/>
    <w:basedOn w:val="Normal"/>
    <w:next w:val="Body"/>
    <w:qFormat/>
    <w:pPr>
      <w:keepNext w:val="true"/>
      <w:keepLines/>
      <w:spacing w:lineRule="exact" w:line="240" w:before="0" w:after="240"/>
      <w:jc w:val="center"/>
    </w:pPr>
    <w:rPr>
      <w:b/>
      <w:bCs/>
      <w:u w:val="single"/>
    </w:rPr>
  </w:style>
  <w:style w:type="paragraph" w:styleId="NormalIndent">
    <w:name w:val="Normal Indent"/>
    <w:basedOn w:val="Normal"/>
    <w:qFormat/>
    <w:pPr>
      <w:ind w:hanging="0" w:start="720" w:end="0"/>
    </w:pPr>
    <w:rPr/>
  </w:style>
  <w:style w:type="paragraph" w:styleId="Quote">
    <w:name w:val="Quote"/>
    <w:basedOn w:val="DoubleSpacing"/>
    <w:qFormat/>
    <w:pPr>
      <w:widowControl/>
      <w:ind w:hanging="0" w:start="1440" w:end="720"/>
    </w:pPr>
    <w:rPr/>
  </w:style>
  <w:style w:type="paragraph" w:styleId="Pline1">
    <w:name w:val="Pline1"/>
    <w:qFormat/>
    <w:pPr>
      <w:widowControl w:val="false"/>
      <w:bidi w:val="0"/>
      <w:spacing w:lineRule="exact" w:line="120" w:before="20" w:after="0"/>
      <w:jc w:val="center"/>
    </w:pPr>
    <w:rPr>
      <w:rFonts w:ascii="Arial" w:hAnsi="Arial" w:eastAsia="Arial" w:cs="Arial"/>
      <w:b/>
      <w:bCs/>
      <w:color w:val="auto"/>
      <w:sz w:val="12"/>
      <w:szCs w:val="12"/>
      <w:lang w:val="en-CA" w:eastAsia="zh-CN" w:bidi="hi-IN"/>
    </w:rPr>
  </w:style>
  <w:style w:type="paragraph" w:styleId="Table">
    <w:name w:val="Table"/>
    <w:basedOn w:val="Normal"/>
    <w:qFormat/>
    <w:pPr>
      <w:spacing w:lineRule="exact" w:line="240"/>
    </w:pPr>
    <w:rPr/>
  </w:style>
  <w:style w:type="paragraph" w:styleId="TableofAuthorities">
    <w:name w:val="Table of Authorities"/>
    <w:basedOn w:val="Normal"/>
    <w:next w:val="Normal"/>
    <w:qFormat/>
    <w:pPr>
      <w:tabs>
        <w:tab w:val="clear" w:pos="720"/>
        <w:tab w:val="right" w:pos="9180" w:leader="dot"/>
      </w:tabs>
      <w:spacing w:before="0" w:after="240"/>
      <w:ind w:hanging="547" w:start="547" w:end="0"/>
    </w:pPr>
    <w:rPr>
      <w:lang w:val="en-CA"/>
    </w:rPr>
  </w:style>
  <w:style w:type="paragraph" w:styleId="TOAHeading">
    <w:name w:val="TOA Heading"/>
    <w:basedOn w:val="Normal"/>
    <w:next w:val="Normal"/>
    <w:qFormat/>
    <w:pPr>
      <w:spacing w:before="120" w:after="120"/>
    </w:pPr>
    <w:rPr>
      <w:sz w:val="20"/>
      <w:szCs w:val="20"/>
      <w:u w:val="single"/>
    </w:rPr>
  </w:style>
  <w:style w:type="paragraph" w:styleId="TOC1">
    <w:name w:val="toc 1"/>
    <w:basedOn w:val="Normal"/>
    <w:next w:val="Normal"/>
    <w:pPr>
      <w:tabs>
        <w:tab w:val="clear" w:pos="720"/>
        <w:tab w:val="right" w:pos="9000" w:leader="dot"/>
      </w:tabs>
      <w:spacing w:before="120" w:after="120"/>
    </w:pPr>
    <w:rPr>
      <w:b/>
      <w:bCs/>
      <w:caps/>
      <w:sz w:val="20"/>
      <w:szCs w:val="20"/>
    </w:rPr>
  </w:style>
  <w:style w:type="paragraph" w:styleId="TOC2">
    <w:name w:val="toc 2"/>
    <w:basedOn w:val="Normal"/>
    <w:next w:val="Normal"/>
    <w:pPr>
      <w:tabs>
        <w:tab w:val="clear" w:pos="720"/>
        <w:tab w:val="right" w:pos="9000" w:leader="dot"/>
      </w:tabs>
      <w:ind w:hanging="0" w:start="240" w:end="0"/>
    </w:pPr>
    <w:rPr>
      <w:smallCaps/>
      <w:sz w:val="20"/>
      <w:szCs w:val="20"/>
    </w:rPr>
  </w:style>
  <w:style w:type="paragraph" w:styleId="TOC3">
    <w:name w:val="toc 3"/>
    <w:basedOn w:val="Normal"/>
    <w:next w:val="Normal"/>
    <w:pPr>
      <w:tabs>
        <w:tab w:val="clear" w:pos="720"/>
        <w:tab w:val="right" w:pos="9000" w:leader="dot"/>
      </w:tabs>
      <w:ind w:hanging="0" w:start="480" w:end="0"/>
    </w:pPr>
    <w:rPr>
      <w:i/>
      <w:iCs/>
      <w:sz w:val="20"/>
      <w:szCs w:val="20"/>
    </w:rPr>
  </w:style>
  <w:style w:type="paragraph" w:styleId="TOC4">
    <w:name w:val="toc 4"/>
    <w:basedOn w:val="Normal"/>
    <w:next w:val="Normal"/>
    <w:pPr>
      <w:tabs>
        <w:tab w:val="clear" w:pos="720"/>
        <w:tab w:val="right" w:pos="9000" w:leader="dot"/>
      </w:tabs>
      <w:ind w:hanging="0" w:start="720" w:end="0"/>
    </w:pPr>
    <w:rPr>
      <w:sz w:val="18"/>
      <w:szCs w:val="18"/>
    </w:rPr>
  </w:style>
  <w:style w:type="paragraph" w:styleId="TOC5">
    <w:name w:val="toc 5"/>
    <w:basedOn w:val="Normal"/>
    <w:next w:val="Normal"/>
    <w:pPr>
      <w:tabs>
        <w:tab w:val="clear" w:pos="720"/>
        <w:tab w:val="right" w:pos="9000" w:leader="dot"/>
      </w:tabs>
      <w:ind w:hanging="0" w:start="960" w:end="0"/>
    </w:pPr>
    <w:rPr>
      <w:sz w:val="18"/>
      <w:szCs w:val="18"/>
    </w:rPr>
  </w:style>
  <w:style w:type="paragraph" w:styleId="TOC6">
    <w:name w:val="toc 6"/>
    <w:basedOn w:val="Normal"/>
    <w:next w:val="Normal"/>
    <w:pPr>
      <w:tabs>
        <w:tab w:val="clear" w:pos="720"/>
        <w:tab w:val="right" w:pos="9000" w:leader="dot"/>
      </w:tabs>
      <w:ind w:hanging="0" w:start="1200" w:end="0"/>
    </w:pPr>
    <w:rPr>
      <w:sz w:val="18"/>
      <w:szCs w:val="18"/>
    </w:rPr>
  </w:style>
  <w:style w:type="paragraph" w:styleId="TOC7">
    <w:name w:val="toc 7"/>
    <w:basedOn w:val="Normal"/>
    <w:next w:val="Normal"/>
    <w:pPr>
      <w:tabs>
        <w:tab w:val="clear" w:pos="720"/>
        <w:tab w:val="right" w:pos="9000" w:leader="dot"/>
      </w:tabs>
      <w:ind w:hanging="0" w:start="1440" w:end="0"/>
    </w:pPr>
    <w:rPr>
      <w:sz w:val="18"/>
      <w:szCs w:val="18"/>
    </w:rPr>
  </w:style>
  <w:style w:type="paragraph" w:styleId="TOC8">
    <w:name w:val="toc 8"/>
    <w:basedOn w:val="Normal"/>
    <w:next w:val="Normal"/>
    <w:pPr>
      <w:tabs>
        <w:tab w:val="clear" w:pos="720"/>
        <w:tab w:val="right" w:pos="9000" w:leader="dot"/>
      </w:tabs>
      <w:ind w:hanging="0" w:start="1680" w:end="0"/>
    </w:pPr>
    <w:rPr>
      <w:sz w:val="18"/>
      <w:szCs w:val="18"/>
    </w:rPr>
  </w:style>
  <w:style w:type="paragraph" w:styleId="TOC9">
    <w:name w:val="toc 9"/>
    <w:basedOn w:val="Normal"/>
    <w:next w:val="Normal"/>
    <w:pPr>
      <w:tabs>
        <w:tab w:val="clear" w:pos="720"/>
        <w:tab w:val="right" w:pos="9000" w:leader="dot"/>
      </w:tabs>
      <w:ind w:hanging="0" w:start="1920" w:end="0"/>
    </w:pPr>
    <w:rPr>
      <w:sz w:val="18"/>
      <w:szCs w:val="18"/>
    </w:rPr>
  </w:style>
  <w:style w:type="paragraph" w:styleId="HdrLineNumbers">
    <w:name w:val="HdrLineNumbers"/>
    <w:basedOn w:val="Normal"/>
    <w:qFormat/>
    <w:pPr>
      <w:spacing w:lineRule="exact" w:line="480" w:before="500" w:after="0"/>
      <w:ind w:hanging="0" w:start="0" w:end="144"/>
      <w:jc w:val="end"/>
    </w:pPr>
    <w:rPr/>
  </w:style>
  <w:style w:type="paragraph" w:styleId="IndentLeft">
    <w:name w:val="Indent Left"/>
    <w:basedOn w:val="Normal"/>
    <w:qFormat/>
    <w:pPr>
      <w:spacing w:lineRule="exact" w:line="240" w:before="0" w:after="240"/>
      <w:ind w:hanging="0" w:start="1440" w:end="0"/>
    </w:pPr>
    <w:rPr/>
  </w:style>
  <w:style w:type="paragraph" w:styleId="TableofFigures">
    <w:name w:val="Table of Figures"/>
    <w:basedOn w:val="Normal"/>
    <w:next w:val="Normal"/>
    <w:qFormat/>
    <w:pPr>
      <w:tabs>
        <w:tab w:val="clear" w:pos="720"/>
        <w:tab w:val="right" w:pos="9360" w:leader="dot"/>
      </w:tabs>
      <w:spacing w:lineRule="exact" w:line="240" w:before="0" w:after="240"/>
      <w:ind w:hanging="475" w:start="475" w:end="0"/>
    </w:pPr>
    <w:rPr/>
  </w:style>
  <w:style w:type="paragraph" w:styleId="FooterTxt">
    <w:name w:val="FooterTxt"/>
    <w:basedOn w:val="Footer"/>
    <w:qFormat/>
    <w:pPr>
      <w:tabs>
        <w:tab w:val="clear" w:pos="9360"/>
        <w:tab w:val="center" w:pos="4320" w:leader="none"/>
        <w:tab w:val="right" w:pos="8640" w:leader="none"/>
      </w:tabs>
      <w:spacing w:before="240" w:after="0"/>
    </w:pPr>
    <w:rPr/>
  </w:style>
  <w:style w:type="paragraph" w:styleId="QuoteSS">
    <w:name w:val="Quote SS"/>
    <w:basedOn w:val="Normal"/>
    <w:qFormat/>
    <w:pPr>
      <w:spacing w:lineRule="exact" w:line="240" w:before="0" w:after="240"/>
      <w:ind w:hanging="0" w:start="1440" w:end="1440"/>
    </w:pPr>
    <w:rPr/>
  </w:style>
  <w:style w:type="paragraph" w:styleId="Pline3">
    <w:name w:val="Pline3"/>
    <w:qFormat/>
    <w:pPr>
      <w:widowControl w:val="false"/>
      <w:bidi w:val="0"/>
      <w:spacing w:lineRule="exact" w:line="120"/>
      <w:jc w:val="center"/>
    </w:pPr>
    <w:rPr>
      <w:rFonts w:ascii="Arial" w:hAnsi="Arial" w:eastAsia="Arial" w:cs="Arial"/>
      <w:color w:val="auto"/>
      <w:sz w:val="10"/>
      <w:szCs w:val="10"/>
      <w:lang w:val="en-CA" w:eastAsia="zh-CN" w:bidi="hi-IN"/>
    </w:rPr>
  </w:style>
  <w:style w:type="paragraph" w:styleId="zTitle">
    <w:name w:val="zTitle"/>
    <w:basedOn w:val="Normal"/>
    <w:qFormat/>
    <w:pPr>
      <w:jc w:val="center"/>
    </w:pPr>
    <w:rPr>
      <w:b/>
      <w:bCs/>
    </w:rPr>
  </w:style>
  <w:style w:type="paragraph" w:styleId="zCaption">
    <w:name w:val="zCaption"/>
    <w:basedOn w:val="Normal"/>
    <w:qFormat/>
    <w:pPr>
      <w:tabs>
        <w:tab w:val="clear" w:pos="720"/>
        <w:tab w:val="left" w:pos="1440" w:leader="none"/>
        <w:tab w:val="right" w:pos="9360" w:leader="none"/>
      </w:tabs>
    </w:pPr>
    <w:rPr/>
  </w:style>
  <w:style w:type="paragraph" w:styleId="HorizontalLine">
    <w:name w:val="HorizontalLine"/>
    <w:basedOn w:val="Normal"/>
    <w:qFormat/>
    <w:pPr>
      <w:pBdr>
        <w:bottom w:val="single" w:sz="6" w:space="0" w:color="000000"/>
      </w:pBdr>
      <w:spacing w:before="0" w:after="240"/>
    </w:pPr>
    <w:rPr/>
  </w:style>
  <w:style w:type="paragraph" w:styleId="DoubleSpaceBody">
    <w:name w:val="Double Space Body"/>
    <w:basedOn w:val="Normal"/>
    <w:qFormat/>
    <w:pPr>
      <w:widowControl/>
      <w:spacing w:lineRule="exact" w:line="480"/>
      <w:ind w:firstLine="1440" w:start="0" w:end="0"/>
    </w:pPr>
    <w:rPr/>
  </w:style>
  <w:style w:type="paragraph" w:styleId="zCourtLines">
    <w:name w:val="zCourtLines"/>
    <w:basedOn w:val="DoubleSpacing"/>
    <w:qFormat/>
    <w:pPr>
      <w:jc w:val="center"/>
    </w:pPr>
    <w:rPr>
      <w:b/>
      <w:bCs/>
    </w:rPr>
  </w:style>
  <w:style w:type="paragraph" w:styleId="bod">
    <w:name w:val="bod"/>
    <w:basedOn w:val="DoubleSpacing"/>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9360"/>
        <w:tab w:val="center" w:pos="4500" w:leader="none"/>
        <w:tab w:val="right" w:pos="90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2001-09-07T16:15:00Z</dcterms:created>
  <dc:creator>Arter &amp; Hadden</dc:creator>
  <dc:description/>
  <dc:language>en-CA</dc:language>
  <cp:lastModifiedBy>smara</cp:lastModifiedBy>
  <cp:lastPrinted>2001-09-07T09:47:00Z</cp:lastPrinted>
  <dcterms:modified xsi:type="dcterms:W3CDTF">2001-09-07T16:15:00Z</dcterms:modified>
  <cp:revision>2</cp:revision>
  <dc:subject/>
  <dc:title>______________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00000</vt:lpwstr>
  </property>
  <property fmtid="{D5CDD505-2E9C-101B-9397-08002B2CF9AE}" pid="3" name="DocNumber">
    <vt:lpwstr>64989</vt:lpwstr>
  </property>
  <property fmtid="{D5CDD505-2E9C-101B-9397-08002B2CF9AE}" pid="4" name="DocVersion">
    <vt:lpwstr>1</vt:lpwstr>
  </property>
  <property fmtid="{D5CDD505-2E9C-101B-9397-08002B2CF9AE}" pid="5" name="Matter">
    <vt:lpwstr>00850</vt:lpwstr>
  </property>
</Properties>
</file>