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lineRule="exact" w:line="560" w:before="360" w:after="240"/>
        <w:jc w:val="center"/>
        <w:rPr/>
      </w:pPr>
      <w:r>
        <w:rPr/>
        <w:t>Appendix C</w:t>
      </w:r>
    </w:p>
    <w:p>
      <w:pPr>
        <w:pStyle w:val="Heading"/>
        <w:rPr/>
      </w:pPr>
      <w:r>
        <w:rPr/>
        <w:t>Delay and Performance Payment Adjustment</w:t>
      </w:r>
    </w:p>
    <w:p>
      <w:pPr>
        <w:pStyle w:val="Normal"/>
        <w:tabs>
          <w:tab w:val="clear" w:pos="720"/>
          <w:tab w:val="left" w:pos="2160" w:leader="none"/>
        </w:tabs>
        <w:spacing w:before="0" w:after="240"/>
        <w:jc w:val="both"/>
        <w:rPr/>
      </w:pPr>
      <w:r>
        <w:rPr/>
      </w:r>
    </w:p>
    <w:p>
      <w:pPr>
        <w:pStyle w:val="Normal"/>
        <w:jc w:val="center"/>
        <w:rPr>
          <w:b/>
        </w:rPr>
      </w:pPr>
      <w:r>
        <w:rPr>
          <w:b/>
        </w:rPr>
        <w:t xml:space="preserve">ARTICLE 5 -- PAYMENT FOR CAPACITY </w:t>
      </w:r>
    </w:p>
    <w:p>
      <w:pPr>
        <w:pStyle w:val="Normal"/>
        <w:jc w:val="both"/>
        <w:rPr>
          <w:b/>
        </w:rPr>
      </w:pPr>
      <w:r>
        <w:rPr>
          <w:b/>
        </w:rPr>
      </w:r>
    </w:p>
    <w:p>
      <w:pPr>
        <w:pStyle w:val="Normal"/>
        <w:numPr>
          <w:ilvl w:val="0"/>
          <w:numId w:val="3"/>
        </w:numPr>
        <w:spacing w:before="0" w:after="240"/>
        <w:jc w:val="both"/>
        <w:rPr>
          <w:u w:val="single"/>
        </w:rPr>
      </w:pPr>
      <w:r>
        <w:rPr>
          <w:u w:val="single"/>
        </w:rPr>
        <w:t>Monthly Capacity Payment:</w:t>
      </w:r>
      <w:r>
        <w:rPr/>
        <w:t xml:space="preserve"> Beginning on _______, the Monthly Capacity Payment for each month of the term of this Agreement shall be calculated in accordance with the formula below. </w:t>
      </w:r>
    </w:p>
    <w:p>
      <w:pPr>
        <w:pStyle w:val="Normal"/>
        <w:spacing w:before="0" w:after="240"/>
        <w:ind w:start="720" w:end="0"/>
        <w:jc w:val="both"/>
        <w:rPr/>
      </w:pPr>
      <w:r>
        <w:rPr/>
        <w:t>Monthly Capacity Payment =</w:t>
        <w:tab/>
        <w:t>(CC x VF x ACC) x [(DMO – FMD)/DMO] +</w:t>
      </w:r>
    </w:p>
    <w:p>
      <w:pPr>
        <w:pStyle w:val="Normal"/>
        <w:spacing w:before="0" w:after="240"/>
        <w:ind w:firstLine="720" w:start="2880" w:end="0"/>
        <w:jc w:val="both"/>
        <w:rPr/>
      </w:pPr>
      <w:r>
        <w:rPr/>
        <w:t>(DDA + MPA)</w:t>
      </w:r>
    </w:p>
    <w:p>
      <w:pPr>
        <w:pStyle w:val="Normal"/>
        <w:spacing w:before="0" w:after="240"/>
        <w:ind w:start="720" w:end="0"/>
        <w:jc w:val="both"/>
        <w:rPr/>
      </w:pPr>
      <w:r>
        <w:rPr/>
        <w:t>Where:</w:t>
      </w:r>
    </w:p>
    <w:p>
      <w:pPr>
        <w:pStyle w:val="Normal"/>
        <w:spacing w:before="0" w:after="240"/>
        <w:ind w:start="720" w:end="0"/>
        <w:jc w:val="both"/>
        <w:rPr/>
      </w:pPr>
      <w:r>
        <w:rPr/>
        <w:tab/>
        <w:t>CC</w:t>
        <w:tab/>
        <w:t>=</w:t>
        <w:tab/>
        <w:t>Contract Capacity, expressed in kW;</w:t>
      </w:r>
    </w:p>
    <w:p>
      <w:pPr>
        <w:pStyle w:val="Normal"/>
        <w:tabs>
          <w:tab w:val="clear" w:pos="720"/>
          <w:tab w:val="left" w:pos="-1440" w:leader="none"/>
        </w:tabs>
        <w:jc w:val="both"/>
        <w:rPr/>
      </w:pPr>
      <w:r>
        <w:rPr/>
        <w:tab/>
        <w:tab/>
        <w:t>VF</w:t>
        <w:tab/>
        <w:t>=</w:t>
        <w:tab/>
        <w:t>is the Value Factor for the month from Table 5.1.1A,</w:t>
      </w:r>
    </w:p>
    <w:p>
      <w:pPr>
        <w:pStyle w:val="Normal"/>
        <w:tabs>
          <w:tab w:val="clear" w:pos="720"/>
          <w:tab w:val="left" w:pos="-1440" w:leader="none"/>
        </w:tabs>
        <w:jc w:val="both"/>
        <w:rPr/>
      </w:pPr>
      <w:r>
        <w:rPr/>
        <w:tab/>
        <w:tab/>
        <w:tab/>
        <w:tab/>
        <w:t>expressed as a decimal fraction;</w:t>
      </w:r>
    </w:p>
    <w:p>
      <w:pPr>
        <w:pStyle w:val="Normal"/>
        <w:tabs>
          <w:tab w:val="clear" w:pos="720"/>
          <w:tab w:val="left" w:pos="-1440" w:leader="none"/>
        </w:tabs>
        <w:jc w:val="both"/>
        <w:rPr/>
      </w:pPr>
      <w:r>
        <w:rPr/>
      </w:r>
    </w:p>
    <w:p>
      <w:pPr>
        <w:pStyle w:val="Normal"/>
        <w:tabs>
          <w:tab w:val="clear" w:pos="720"/>
          <w:tab w:val="left" w:pos="-1440" w:leader="none"/>
        </w:tabs>
        <w:jc w:val="both"/>
        <w:rPr/>
      </w:pPr>
      <w:r>
        <w:rPr/>
        <w:tab/>
        <w:tab/>
        <w:t>ACC</w:t>
        <w:tab/>
        <w:t>=</w:t>
        <w:tab/>
        <w:t>Annual Capacity Charge from Table ____;</w:t>
      </w:r>
    </w:p>
    <w:p>
      <w:pPr>
        <w:pStyle w:val="Normal"/>
        <w:tabs>
          <w:tab w:val="clear" w:pos="720"/>
          <w:tab w:val="left" w:pos="-1440" w:leader="none"/>
        </w:tabs>
        <w:jc w:val="both"/>
        <w:rPr/>
      </w:pPr>
      <w:r>
        <w:rPr/>
      </w:r>
    </w:p>
    <w:p>
      <w:pPr>
        <w:pStyle w:val="Normal"/>
        <w:tabs>
          <w:tab w:val="clear" w:pos="720"/>
          <w:tab w:val="left" w:pos="-1440" w:leader="none"/>
        </w:tabs>
        <w:jc w:val="both"/>
        <w:rPr/>
      </w:pPr>
      <w:r>
        <w:rPr/>
        <w:tab/>
        <w:tab/>
        <w:t>DMO</w:t>
        <w:tab/>
        <w:t>=</w:t>
        <w:tab/>
        <w:t>is the number of days in the month;</w:t>
      </w:r>
    </w:p>
    <w:p>
      <w:pPr>
        <w:pStyle w:val="Normal"/>
        <w:tabs>
          <w:tab w:val="clear" w:pos="720"/>
          <w:tab w:val="left" w:pos="-1440" w:leader="none"/>
        </w:tabs>
        <w:jc w:val="both"/>
        <w:rPr/>
      </w:pPr>
      <w:r>
        <w:rPr/>
      </w:r>
    </w:p>
    <w:p>
      <w:pPr>
        <w:pStyle w:val="Normal"/>
        <w:tabs>
          <w:tab w:val="clear" w:pos="720"/>
          <w:tab w:val="left" w:pos="-1440" w:leader="none"/>
        </w:tabs>
        <w:jc w:val="both"/>
        <w:rPr/>
      </w:pPr>
      <w:r>
        <w:rPr/>
        <w:tab/>
        <w:tab/>
        <w:t>FMD</w:t>
        <w:tab/>
        <w:t>=</w:t>
        <w:tab/>
        <w:t>is the number of days impacted by a Force Majeure;</w:t>
      </w:r>
    </w:p>
    <w:p>
      <w:pPr>
        <w:pStyle w:val="Normal"/>
        <w:tabs>
          <w:tab w:val="clear" w:pos="720"/>
          <w:tab w:val="left" w:pos="-1440" w:leader="none"/>
        </w:tabs>
        <w:jc w:val="both"/>
        <w:rPr/>
      </w:pPr>
      <w:r>
        <w:rPr/>
      </w:r>
    </w:p>
    <w:p>
      <w:pPr>
        <w:pStyle w:val="Normal"/>
        <w:tabs>
          <w:tab w:val="clear" w:pos="720"/>
          <w:tab w:val="left" w:pos="-1440" w:leader="none"/>
        </w:tabs>
        <w:jc w:val="both"/>
        <w:rPr/>
      </w:pPr>
      <w:r>
        <w:rPr/>
        <w:tab/>
        <w:tab/>
        <w:t>DDA</w:t>
        <w:tab/>
        <w:t>=</w:t>
        <w:tab/>
        <w:t>Delivery Delay Adjustment calculated in accordance with</w:t>
      </w:r>
    </w:p>
    <w:p>
      <w:pPr>
        <w:pStyle w:val="Normal"/>
        <w:tabs>
          <w:tab w:val="clear" w:pos="720"/>
          <w:tab w:val="left" w:pos="-1440" w:leader="none"/>
        </w:tabs>
        <w:jc w:val="both"/>
        <w:rPr/>
      </w:pPr>
      <w:r>
        <w:rPr/>
        <w:tab/>
        <w:tab/>
        <w:tab/>
        <w:tab/>
        <w:t>5.1.1; and</w:t>
      </w:r>
    </w:p>
    <w:p>
      <w:pPr>
        <w:pStyle w:val="Normal"/>
        <w:tabs>
          <w:tab w:val="clear" w:pos="720"/>
          <w:tab w:val="left" w:pos="-1440" w:leader="none"/>
        </w:tabs>
        <w:jc w:val="both"/>
        <w:rPr/>
      </w:pPr>
      <w:r>
        <w:rPr/>
      </w:r>
    </w:p>
    <w:p>
      <w:pPr>
        <w:pStyle w:val="Normal"/>
        <w:tabs>
          <w:tab w:val="clear" w:pos="720"/>
          <w:tab w:val="left" w:pos="-1440" w:leader="none"/>
        </w:tabs>
        <w:jc w:val="both"/>
        <w:rPr/>
      </w:pPr>
      <w:r>
        <w:rPr/>
        <w:tab/>
        <w:tab/>
        <w:t>MPA</w:t>
        <w:tab/>
        <w:t>=</w:t>
        <w:tab/>
        <w:t>Monthly Performance Adjustment calculated in accordance</w:t>
      </w:r>
    </w:p>
    <w:p>
      <w:pPr>
        <w:pStyle w:val="Normal"/>
        <w:tabs>
          <w:tab w:val="clear" w:pos="720"/>
          <w:tab w:val="left" w:pos="-1440" w:leader="none"/>
        </w:tabs>
        <w:jc w:val="both"/>
        <w:rPr/>
      </w:pPr>
      <w:r>
        <w:rPr/>
        <w:tab/>
        <w:tab/>
        <w:tab/>
        <w:tab/>
        <w:t>with 5.1.2.</w:t>
      </w:r>
    </w:p>
    <w:p>
      <w:pPr>
        <w:pStyle w:val="Normal"/>
        <w:spacing w:before="0" w:after="240"/>
        <w:ind w:start="720" w:end="0"/>
        <w:jc w:val="both"/>
        <w:rPr/>
      </w:pPr>
      <w:r>
        <w:rPr/>
      </w:r>
    </w:p>
    <w:p>
      <w:pPr>
        <w:pStyle w:val="Normal"/>
        <w:spacing w:before="0" w:after="240"/>
        <w:ind w:start="720" w:end="0"/>
        <w:jc w:val="both"/>
        <w:rPr/>
      </w:pPr>
      <w:r>
        <w:rPr/>
        <w:tab/>
        <w:tab/>
      </w:r>
    </w:p>
    <w:p>
      <w:pPr>
        <w:pStyle w:val="Normal"/>
        <w:spacing w:before="0" w:after="240"/>
        <w:ind w:start="720" w:end="0"/>
        <w:jc w:val="both"/>
        <w:rPr/>
      </w:pPr>
      <w:r>
        <w:rPr/>
      </w:r>
    </w:p>
    <w:p>
      <w:pPr>
        <w:pStyle w:val="Heading1"/>
        <w:ind w:hanging="0" w:start="0"/>
        <w:rPr/>
      </w:pPr>
      <w:r>
        <w:rPr/>
        <w:t>TABLE _____</w:t>
      </w:r>
    </w:p>
    <w:tbl>
      <w:tblPr>
        <w:tblW w:w="8793" w:type="dxa"/>
        <w:jc w:val="center"/>
        <w:tblInd w:w="0" w:type="dxa"/>
        <w:tblLayout w:type="fixed"/>
        <w:tblCellMar>
          <w:top w:w="0" w:type="dxa"/>
          <w:start w:w="153" w:type="dxa"/>
          <w:bottom w:w="0" w:type="dxa"/>
          <w:end w:w="153" w:type="dxa"/>
        </w:tblCellMar>
      </w:tblPr>
      <w:tblGrid>
        <w:gridCol w:w="4399"/>
        <w:gridCol w:w="4394"/>
      </w:tblGrid>
      <w:tr>
        <w:trPr>
          <w:tblHeader w:val="true"/>
        </w:trPr>
        <w:tc>
          <w:tcPr>
            <w:tcW w:w="4399" w:type="dxa"/>
            <w:tcBorders>
              <w:top w:val="single" w:sz="12" w:space="0" w:color="008000"/>
              <w:bottom w:val="single" w:sz="6" w:space="0" w:color="008000"/>
            </w:tcBorders>
          </w:tcPr>
          <w:p>
            <w:pPr>
              <w:pStyle w:val="Normal"/>
              <w:snapToGrid w:val="false"/>
              <w:spacing w:lineRule="exact" w:line="201"/>
              <w:rPr/>
            </w:pPr>
            <w:r>
              <w:rPr/>
            </w:r>
          </w:p>
          <w:p>
            <w:pPr>
              <w:pStyle w:val="Normal"/>
              <w:spacing w:before="0" w:after="58"/>
              <w:jc w:val="center"/>
              <w:rPr/>
            </w:pPr>
            <w:r>
              <w:rPr/>
              <w:t>Contract Year</w:t>
            </w:r>
          </w:p>
        </w:tc>
        <w:tc>
          <w:tcPr>
            <w:tcW w:w="4394" w:type="dxa"/>
            <w:tcBorders>
              <w:top w:val="single" w:sz="12" w:space="0" w:color="008000"/>
              <w:bottom w:val="single" w:sz="6" w:space="0" w:color="008000"/>
            </w:tcBorders>
          </w:tcPr>
          <w:p>
            <w:pPr>
              <w:pStyle w:val="Normal"/>
              <w:snapToGrid w:val="false"/>
              <w:spacing w:lineRule="exact" w:line="201"/>
              <w:rPr/>
            </w:pPr>
            <w:r>
              <w:rPr/>
            </w:r>
          </w:p>
          <w:p>
            <w:pPr>
              <w:pStyle w:val="Normal"/>
              <w:spacing w:before="0" w:after="58"/>
              <w:jc w:val="center"/>
              <w:rPr/>
            </w:pPr>
            <w:r>
              <w:rPr/>
              <w:t xml:space="preserve">Annual Capacity Charge $/kW </w:t>
            </w:r>
          </w:p>
        </w:tc>
      </w:tr>
      <w:tr>
        <w:trPr/>
        <w:tc>
          <w:tcPr>
            <w:tcW w:w="4399" w:type="dxa"/>
            <w:tcBorders/>
          </w:tcPr>
          <w:p>
            <w:pPr>
              <w:pStyle w:val="Normal"/>
              <w:snapToGrid w:val="false"/>
              <w:spacing w:lineRule="exact" w:line="163"/>
              <w:rPr/>
            </w:pPr>
            <w:r>
              <w:rPr/>
            </w:r>
          </w:p>
          <w:p>
            <w:pPr>
              <w:pStyle w:val="Normal"/>
              <w:jc w:val="center"/>
              <w:rPr/>
            </w:pPr>
            <w:r>
              <w:rPr/>
              <w:t>2002</w:t>
            </w:r>
          </w:p>
        </w:tc>
        <w:tc>
          <w:tcPr>
            <w:tcW w:w="4394" w:type="dxa"/>
            <w:tcBorders/>
          </w:tcPr>
          <w:p>
            <w:pPr>
              <w:pStyle w:val="Normal"/>
              <w:snapToGrid w:val="false"/>
              <w:spacing w:lineRule="exact" w:line="163"/>
              <w:rPr/>
            </w:pPr>
            <w:r>
              <w:rPr/>
            </w:r>
          </w:p>
          <w:p>
            <w:pPr>
              <w:pStyle w:val="Normal"/>
              <w:jc w:val="center"/>
              <w:rPr/>
            </w:pPr>
            <w:r>
              <w:rPr/>
              <w:t>$30.00</w:t>
            </w:r>
          </w:p>
        </w:tc>
      </w:tr>
      <w:tr>
        <w:trPr/>
        <w:tc>
          <w:tcPr>
            <w:tcW w:w="4399" w:type="dxa"/>
            <w:tcBorders/>
          </w:tcPr>
          <w:p>
            <w:pPr>
              <w:pStyle w:val="Normal"/>
              <w:snapToGrid w:val="false"/>
              <w:spacing w:lineRule="exact" w:line="163"/>
              <w:rPr/>
            </w:pPr>
            <w:r>
              <w:rPr/>
            </w:r>
          </w:p>
          <w:p>
            <w:pPr>
              <w:pStyle w:val="Normal"/>
              <w:jc w:val="center"/>
              <w:rPr/>
            </w:pPr>
            <w:r>
              <w:rPr/>
              <w:t>2003</w:t>
            </w:r>
          </w:p>
        </w:tc>
        <w:tc>
          <w:tcPr>
            <w:tcW w:w="4394" w:type="dxa"/>
            <w:tcBorders/>
          </w:tcPr>
          <w:p>
            <w:pPr>
              <w:pStyle w:val="Normal"/>
              <w:snapToGrid w:val="false"/>
              <w:spacing w:lineRule="exact" w:line="163"/>
              <w:rPr/>
            </w:pPr>
            <w:r>
              <w:rPr/>
            </w:r>
          </w:p>
          <w:p>
            <w:pPr>
              <w:pStyle w:val="Normal"/>
              <w:jc w:val="center"/>
              <w:rPr/>
            </w:pPr>
            <w:r>
              <w:rPr/>
              <w:t>$30.00</w:t>
            </w:r>
          </w:p>
        </w:tc>
      </w:tr>
      <w:tr>
        <w:trPr/>
        <w:tc>
          <w:tcPr>
            <w:tcW w:w="4399" w:type="dxa"/>
            <w:tcBorders/>
          </w:tcPr>
          <w:p>
            <w:pPr>
              <w:pStyle w:val="Normal"/>
              <w:snapToGrid w:val="false"/>
              <w:spacing w:lineRule="exact" w:line="163"/>
              <w:rPr/>
            </w:pPr>
            <w:r>
              <w:rPr/>
            </w:r>
          </w:p>
          <w:p>
            <w:pPr>
              <w:pStyle w:val="Normal"/>
              <w:jc w:val="center"/>
              <w:rPr/>
            </w:pPr>
            <w:r>
              <w:rPr/>
              <w:t>2004</w:t>
            </w:r>
          </w:p>
        </w:tc>
        <w:tc>
          <w:tcPr>
            <w:tcW w:w="4394" w:type="dxa"/>
            <w:tcBorders/>
          </w:tcPr>
          <w:p>
            <w:pPr>
              <w:pStyle w:val="Normal"/>
              <w:snapToGrid w:val="false"/>
              <w:spacing w:lineRule="exact" w:line="163"/>
              <w:rPr/>
            </w:pPr>
            <w:r>
              <w:rPr/>
            </w:r>
          </w:p>
          <w:p>
            <w:pPr>
              <w:pStyle w:val="Normal"/>
              <w:jc w:val="center"/>
              <w:rPr/>
            </w:pPr>
            <w:r>
              <w:rPr/>
              <w:t>$30.00</w:t>
            </w:r>
          </w:p>
        </w:tc>
      </w:tr>
      <w:tr>
        <w:trPr/>
        <w:tc>
          <w:tcPr>
            <w:tcW w:w="4399" w:type="dxa"/>
            <w:tcBorders/>
          </w:tcPr>
          <w:p>
            <w:pPr>
              <w:pStyle w:val="Normal"/>
              <w:snapToGrid w:val="false"/>
              <w:spacing w:lineRule="exact" w:line="163"/>
              <w:rPr/>
            </w:pPr>
            <w:r>
              <w:rPr/>
            </w:r>
          </w:p>
          <w:p>
            <w:pPr>
              <w:pStyle w:val="Normal"/>
              <w:jc w:val="center"/>
              <w:rPr/>
            </w:pPr>
            <w:r>
              <w:rPr/>
              <w:t>2005</w:t>
            </w:r>
          </w:p>
        </w:tc>
        <w:tc>
          <w:tcPr>
            <w:tcW w:w="4394" w:type="dxa"/>
            <w:tcBorders/>
          </w:tcPr>
          <w:p>
            <w:pPr>
              <w:pStyle w:val="Normal"/>
              <w:snapToGrid w:val="false"/>
              <w:spacing w:lineRule="exact" w:line="163"/>
              <w:rPr/>
            </w:pPr>
            <w:r>
              <w:rPr/>
            </w:r>
          </w:p>
          <w:p>
            <w:pPr>
              <w:pStyle w:val="Normal"/>
              <w:jc w:val="center"/>
              <w:rPr/>
            </w:pPr>
            <w:r>
              <w:rPr/>
              <w:t>$30.00</w:t>
            </w:r>
          </w:p>
        </w:tc>
      </w:tr>
      <w:tr>
        <w:trPr/>
        <w:tc>
          <w:tcPr>
            <w:tcW w:w="4399" w:type="dxa"/>
            <w:tcBorders/>
          </w:tcPr>
          <w:p>
            <w:pPr>
              <w:pStyle w:val="Normal"/>
              <w:snapToGrid w:val="false"/>
              <w:spacing w:lineRule="exact" w:line="163"/>
              <w:rPr/>
            </w:pPr>
            <w:r>
              <w:rPr/>
            </w:r>
          </w:p>
          <w:p>
            <w:pPr>
              <w:pStyle w:val="Normal"/>
              <w:jc w:val="center"/>
              <w:rPr/>
            </w:pPr>
            <w:r>
              <w:rPr/>
              <w:t>2006</w:t>
            </w:r>
          </w:p>
        </w:tc>
        <w:tc>
          <w:tcPr>
            <w:tcW w:w="4394" w:type="dxa"/>
            <w:tcBorders/>
          </w:tcPr>
          <w:p>
            <w:pPr>
              <w:pStyle w:val="Normal"/>
              <w:snapToGrid w:val="false"/>
              <w:spacing w:lineRule="exact" w:line="163"/>
              <w:rPr/>
            </w:pPr>
            <w:r>
              <w:rPr/>
            </w:r>
          </w:p>
          <w:p>
            <w:pPr>
              <w:pStyle w:val="Normal"/>
              <w:jc w:val="center"/>
              <w:rPr/>
            </w:pPr>
            <w:r>
              <w:rPr/>
              <w:t>$30.00</w:t>
            </w:r>
          </w:p>
        </w:tc>
      </w:tr>
      <w:tr>
        <w:trPr/>
        <w:tc>
          <w:tcPr>
            <w:tcW w:w="4399" w:type="dxa"/>
            <w:tcBorders>
              <w:bottom w:val="single" w:sz="12" w:space="0" w:color="008000"/>
            </w:tcBorders>
          </w:tcPr>
          <w:p>
            <w:pPr>
              <w:pStyle w:val="Normal"/>
              <w:snapToGrid w:val="false"/>
              <w:spacing w:lineRule="exact" w:line="163"/>
              <w:rPr/>
            </w:pPr>
            <w:r>
              <w:rPr/>
            </w:r>
          </w:p>
          <w:p>
            <w:pPr>
              <w:pStyle w:val="Normal"/>
              <w:jc w:val="center"/>
              <w:rPr/>
            </w:pPr>
            <w:r>
              <w:rPr/>
              <w:t>2007</w:t>
            </w:r>
          </w:p>
        </w:tc>
        <w:tc>
          <w:tcPr>
            <w:tcW w:w="4394" w:type="dxa"/>
            <w:tcBorders>
              <w:bottom w:val="single" w:sz="12" w:space="0" w:color="008000"/>
            </w:tcBorders>
          </w:tcPr>
          <w:p>
            <w:pPr>
              <w:pStyle w:val="Normal"/>
              <w:snapToGrid w:val="false"/>
              <w:spacing w:lineRule="exact" w:line="163"/>
              <w:rPr/>
            </w:pPr>
            <w:r>
              <w:rPr/>
            </w:r>
          </w:p>
          <w:p>
            <w:pPr>
              <w:pStyle w:val="Normal"/>
              <w:jc w:val="center"/>
              <w:rPr/>
            </w:pPr>
            <w:r>
              <w:rPr/>
              <w:t>$30.00</w:t>
            </w:r>
          </w:p>
        </w:tc>
      </w:tr>
    </w:tbl>
    <w:p>
      <w:pPr>
        <w:pStyle w:val="Normal"/>
        <w:spacing w:before="0" w:after="240"/>
        <w:ind w:start="360" w:end="0"/>
        <w:jc w:val="both"/>
        <w:rPr>
          <w:u w:val="single"/>
        </w:rPr>
      </w:pPr>
      <w:r>
        <w:rPr>
          <w:u w:val="single"/>
        </w:rPr>
      </w:r>
    </w:p>
    <w:p>
      <w:pPr>
        <w:pStyle w:val="Normal"/>
        <w:spacing w:before="0" w:after="240"/>
        <w:ind w:start="360" w:end="0"/>
        <w:jc w:val="both"/>
        <w:rPr/>
      </w:pPr>
      <w:r>
        <w:rPr/>
        <w:t>Note:  Contract Year represents the 12 month period beginning in the year designated, and ending on _________ (eg, May 31) of each subsequent year.</w:t>
      </w:r>
    </w:p>
    <w:p>
      <w:pPr>
        <w:pStyle w:val="Normal"/>
        <w:spacing w:before="0" w:after="240"/>
        <w:ind w:start="360" w:end="0"/>
        <w:jc w:val="both"/>
        <w:rPr/>
      </w:pPr>
      <w:r>
        <w:rPr/>
      </w:r>
    </w:p>
    <w:p>
      <w:pPr>
        <w:pStyle w:val="Normal"/>
        <w:numPr>
          <w:ilvl w:val="0"/>
          <w:numId w:val="2"/>
        </w:numPr>
        <w:spacing w:before="0" w:after="240"/>
        <w:ind w:hanging="720" w:start="1080" w:end="0"/>
        <w:jc w:val="both"/>
        <w:rPr/>
      </w:pPr>
      <w:r>
        <w:rPr>
          <w:u w:val="single"/>
        </w:rPr>
        <w:t>Delivery Delay Adjustment:</w:t>
      </w:r>
      <w:r>
        <w:rPr/>
        <w:t xml:space="preserve"> In the event that the Designated Seller’s Capacity Resource is not able to provide the Contract Capacity by</w:t>
      </w:r>
      <w:r>
        <w:rPr>
          <w:u w:val="single"/>
        </w:rPr>
        <w:t xml:space="preserve">        (the expected Commercial Operation Date)        </w:t>
      </w:r>
      <w:r>
        <w:rPr/>
        <w:t xml:space="preserve">, a Delivery Delay Adjustment shall be calculated in accordance with the formula below. The Delivery Delay Adjustment shall be the exclusive remedy for any delay in providing the Contract Capacity on </w:t>
      </w:r>
      <w:r>
        <w:rPr>
          <w:u w:val="single"/>
        </w:rPr>
        <w:t>       (the expected Commercial Operation Date)       </w:t>
      </w:r>
      <w:r>
        <w:rPr/>
        <w:t xml:space="preserve">. </w:t>
      </w:r>
    </w:p>
    <w:p>
      <w:pPr>
        <w:pStyle w:val="Normal"/>
        <w:spacing w:before="0" w:after="240"/>
        <w:ind w:firstLine="720" w:start="360" w:end="0"/>
        <w:jc w:val="both"/>
        <w:rPr/>
      </w:pPr>
      <w:r>
        <w:rPr>
          <w:u w:val="single"/>
        </w:rPr>
        <w:t>The “Delivery Delay Adjustment</w:t>
      </w:r>
      <w:r>
        <w:rPr/>
        <w:t>” (DDA) shall be calculated as:</w:t>
      </w:r>
    </w:p>
    <w:p>
      <w:pPr>
        <w:pStyle w:val="Normal"/>
        <w:spacing w:before="0" w:after="240"/>
        <w:jc w:val="both"/>
        <w:rPr/>
      </w:pPr>
      <w:r>
        <w:rPr/>
        <w:tab/>
        <w:tab/>
      </w:r>
    </w:p>
    <w:p>
      <w:pPr>
        <w:pStyle w:val="Normal"/>
        <w:tabs>
          <w:tab w:val="clear" w:pos="720"/>
          <w:tab w:val="left" w:pos="-1440" w:leader="none"/>
        </w:tabs>
        <w:ind w:firstLine="1440" w:end="0"/>
        <w:jc w:val="both"/>
        <w:rPr/>
      </w:pPr>
      <w:r>
        <w:rPr/>
        <w:t>DDA = CC x VF x ACC x DD/DMO</w:t>
      </w:r>
    </w:p>
    <w:p>
      <w:pPr>
        <w:pStyle w:val="Normal"/>
        <w:tabs>
          <w:tab w:val="clear" w:pos="720"/>
          <w:tab w:val="left" w:pos="-1440" w:leader="none"/>
        </w:tabs>
        <w:ind w:hanging="720" w:start="2880" w:end="0"/>
        <w:jc w:val="both"/>
        <w:rPr/>
      </w:pPr>
      <w:r>
        <w:rPr/>
      </w:r>
    </w:p>
    <w:p>
      <w:pPr>
        <w:pStyle w:val="Normal"/>
        <w:tabs>
          <w:tab w:val="clear" w:pos="720"/>
          <w:tab w:val="left" w:pos="-1440" w:leader="none"/>
        </w:tabs>
        <w:ind w:hanging="720" w:start="2880" w:end="0"/>
        <w:jc w:val="both"/>
        <w:rPr/>
      </w:pPr>
      <w:r>
        <w:rPr/>
      </w:r>
    </w:p>
    <w:p>
      <w:pPr>
        <w:pStyle w:val="Normal"/>
        <w:spacing w:before="0" w:after="240"/>
        <w:ind w:firstLine="720" w:start="1440" w:end="0"/>
        <w:jc w:val="both"/>
        <w:rPr/>
      </w:pPr>
      <w:r>
        <w:rPr/>
        <w:t>CC</w:t>
        <w:tab/>
        <w:t>=</w:t>
        <w:tab/>
        <w:t>Contract Capacity, expressed in kW;</w:t>
      </w:r>
    </w:p>
    <w:p>
      <w:pPr>
        <w:pStyle w:val="Normal"/>
        <w:tabs>
          <w:tab w:val="clear" w:pos="720"/>
          <w:tab w:val="left" w:pos="-1440" w:leader="none"/>
        </w:tabs>
        <w:jc w:val="both"/>
        <w:rPr/>
      </w:pPr>
      <w:r>
        <w:rPr/>
        <w:tab/>
        <w:tab/>
        <w:tab/>
        <w:t>VF</w:t>
        <w:tab/>
        <w:t>=</w:t>
        <w:tab/>
        <w:t>is the Value Factor for the month from Table</w:t>
      </w:r>
    </w:p>
    <w:p>
      <w:pPr>
        <w:pStyle w:val="Normal"/>
        <w:tabs>
          <w:tab w:val="clear" w:pos="720"/>
          <w:tab w:val="left" w:pos="-1440" w:leader="none"/>
        </w:tabs>
        <w:jc w:val="both"/>
        <w:rPr/>
      </w:pPr>
      <w:r>
        <w:rPr/>
        <w:tab/>
        <w:tab/>
        <w:tab/>
        <w:tab/>
        <w:tab/>
        <w:t>5.1.1A, expressed as a decimal fraction;</w:t>
      </w:r>
    </w:p>
    <w:p>
      <w:pPr>
        <w:pStyle w:val="Normal"/>
        <w:tabs>
          <w:tab w:val="clear" w:pos="720"/>
          <w:tab w:val="left" w:pos="-1440" w:leader="none"/>
        </w:tabs>
        <w:jc w:val="both"/>
        <w:rPr/>
      </w:pPr>
      <w:r>
        <w:rPr/>
      </w:r>
    </w:p>
    <w:p>
      <w:pPr>
        <w:pStyle w:val="Normal"/>
        <w:tabs>
          <w:tab w:val="clear" w:pos="720"/>
          <w:tab w:val="left" w:pos="-1440" w:leader="none"/>
        </w:tabs>
        <w:jc w:val="both"/>
        <w:rPr/>
      </w:pPr>
      <w:r>
        <w:rPr/>
        <w:tab/>
        <w:tab/>
        <w:tab/>
        <w:t>ACC</w:t>
        <w:tab/>
        <w:t>=</w:t>
        <w:tab/>
        <w:t>Annual Capacity Charge from Table ____;</w:t>
      </w:r>
    </w:p>
    <w:p>
      <w:pPr>
        <w:pStyle w:val="Normal"/>
        <w:tabs>
          <w:tab w:val="clear" w:pos="720"/>
          <w:tab w:val="left" w:pos="-1440" w:leader="none"/>
        </w:tabs>
        <w:jc w:val="both"/>
        <w:rPr/>
      </w:pPr>
      <w:r>
        <w:rPr/>
      </w:r>
    </w:p>
    <w:p>
      <w:pPr>
        <w:pStyle w:val="BodyTextIndent"/>
        <w:ind w:hanging="720" w:start="2880" w:end="0"/>
        <w:rPr>
          <w:rFonts w:ascii="Times New Roman" w:hAnsi="Times New Roman" w:cs="Times New Roman"/>
          <w:sz w:val="24"/>
        </w:rPr>
      </w:pPr>
      <w:r>
        <w:rPr>
          <w:rFonts w:cs="Times New Roman" w:ascii="Times New Roman" w:hAnsi="Times New Roman"/>
          <w:sz w:val="24"/>
        </w:rPr>
        <w:t>DD</w:t>
        <w:tab/>
        <w:t>=</w:t>
        <w:tab/>
        <w:t xml:space="preserve"> is the number of days of delay in the month </w:t>
      </w:r>
    </w:p>
    <w:p>
      <w:pPr>
        <w:pStyle w:val="BodyTextIndent"/>
        <w:ind w:firstLine="720" w:start="2880" w:end="0"/>
        <w:rPr>
          <w:rFonts w:ascii="Times New Roman" w:hAnsi="Times New Roman" w:cs="Times New Roman"/>
          <w:sz w:val="24"/>
        </w:rPr>
      </w:pPr>
      <w:r>
        <w:rPr>
          <w:rFonts w:cs="Times New Roman" w:ascii="Times New Roman" w:hAnsi="Times New Roman"/>
          <w:sz w:val="24"/>
        </w:rPr>
        <w:t>of delivery delay; and</w:t>
      </w:r>
    </w:p>
    <w:p>
      <w:pPr>
        <w:pStyle w:val="BodyTextIndent"/>
        <w:ind w:firstLine="720" w:start="2880" w:end="0"/>
        <w:rPr>
          <w:rFonts w:ascii="Times New Roman" w:hAnsi="Times New Roman" w:cs="Times New Roman"/>
          <w:sz w:val="24"/>
        </w:rPr>
      </w:pPr>
      <w:r>
        <w:rPr>
          <w:rFonts w:cs="Times New Roman" w:ascii="Times New Roman" w:hAnsi="Times New Roman"/>
          <w:sz w:val="24"/>
        </w:rPr>
      </w:r>
    </w:p>
    <w:p>
      <w:pPr>
        <w:pStyle w:val="BodyTextIndent"/>
        <w:ind w:firstLine="360" w:start="1800" w:end="0"/>
        <w:rPr/>
      </w:pPr>
      <w:r>
        <w:rPr>
          <w:rFonts w:cs="Times New Roman" w:ascii="Times New Roman" w:hAnsi="Times New Roman"/>
          <w:sz w:val="24"/>
        </w:rPr>
        <w:t>DMO</w:t>
        <w:tab/>
        <w:t>=</w:t>
        <w:tab/>
        <w:t>is the number of days in the month.</w:t>
      </w:r>
      <w:r>
        <w:rPr>
          <w:sz w:val="24"/>
        </w:rPr>
        <w:t xml:space="preserve"> </w:t>
      </w:r>
    </w:p>
    <w:p>
      <w:pPr>
        <w:pStyle w:val="BodyTextIndent"/>
        <w:ind w:firstLine="360" w:start="1800" w:end="0"/>
        <w:rPr>
          <w:sz w:val="24"/>
        </w:rPr>
      </w:pPr>
      <w:r>
        <w:rPr>
          <w:sz w:val="24"/>
        </w:rPr>
      </w:r>
    </w:p>
    <w:p>
      <w:pPr>
        <w:pStyle w:val="Heading1"/>
        <w:ind w:hanging="0" w:start="0"/>
        <w:rPr/>
      </w:pPr>
      <w:r>
        <w:rPr/>
        <w:t>TABLE 5.1.1A</w:t>
      </w:r>
    </w:p>
    <w:tbl>
      <w:tblPr>
        <w:tblW w:w="9360" w:type="dxa"/>
        <w:jc w:val="center"/>
        <w:tblInd w:w="0" w:type="dxa"/>
        <w:tblLayout w:type="fixed"/>
        <w:tblCellMar>
          <w:top w:w="0" w:type="dxa"/>
          <w:start w:w="153" w:type="dxa"/>
          <w:bottom w:w="0" w:type="dxa"/>
          <w:end w:w="153" w:type="dxa"/>
        </w:tblCellMar>
      </w:tblPr>
      <w:tblGrid>
        <w:gridCol w:w="4680"/>
        <w:gridCol w:w="4680"/>
      </w:tblGrid>
      <w:tr>
        <w:trPr>
          <w:tblHeader w:val="true"/>
        </w:trPr>
        <w:tc>
          <w:tcPr>
            <w:tcW w:w="4680" w:type="dxa"/>
            <w:tcBorders>
              <w:top w:val="double" w:sz="6" w:space="0" w:color="000000"/>
              <w:start w:val="double" w:sz="6" w:space="0" w:color="000000"/>
              <w:bottom w:val="double" w:sz="6" w:space="0" w:color="000000"/>
              <w:end w:val="single" w:sz="6" w:space="0" w:color="FFFFFF"/>
            </w:tcBorders>
          </w:tcPr>
          <w:p>
            <w:pPr>
              <w:pStyle w:val="Normal"/>
              <w:snapToGrid w:val="false"/>
              <w:spacing w:lineRule="exact" w:line="201"/>
              <w:rPr/>
            </w:pPr>
            <w:r>
              <w:rPr/>
            </w:r>
          </w:p>
          <w:p>
            <w:pPr>
              <w:pStyle w:val="Normal"/>
              <w:spacing w:before="0" w:after="58"/>
              <w:jc w:val="center"/>
              <w:rPr/>
            </w:pPr>
            <w:r>
              <w:rPr/>
              <w:t xml:space="preserve">Months </w:t>
            </w:r>
          </w:p>
        </w:tc>
        <w:tc>
          <w:tcPr>
            <w:tcW w:w="4680" w:type="dxa"/>
            <w:tcBorders>
              <w:top w:val="double" w:sz="6" w:space="0" w:color="000000"/>
              <w:start w:val="single" w:sz="6" w:space="0" w:color="000000"/>
              <w:bottom w:val="double" w:sz="6" w:space="0" w:color="000000"/>
              <w:end w:val="double" w:sz="6" w:space="0" w:color="000000"/>
            </w:tcBorders>
          </w:tcPr>
          <w:p>
            <w:pPr>
              <w:pStyle w:val="Normal"/>
              <w:snapToGrid w:val="false"/>
              <w:spacing w:lineRule="exact" w:line="201"/>
              <w:rPr>
                <w:color w:val="FF0000"/>
              </w:rPr>
            </w:pPr>
            <w:r>
              <w:rPr>
                <w:color w:val="FF0000"/>
              </w:rPr>
            </w:r>
          </w:p>
          <w:p>
            <w:pPr>
              <w:pStyle w:val="Normal"/>
              <w:spacing w:before="0" w:after="58"/>
              <w:jc w:val="center"/>
              <w:rPr/>
            </w:pPr>
            <w:r>
              <w:rPr/>
              <w:t xml:space="preserve">Value Factor </w:t>
            </w:r>
          </w:p>
        </w:tc>
      </w:tr>
      <w:tr>
        <w:trPr/>
        <w:tc>
          <w:tcPr>
            <w:tcW w:w="4680" w:type="dxa"/>
            <w:tcBorders>
              <w:top w:val="single" w:sz="6" w:space="0" w:color="000000"/>
              <w:start w:val="double" w:sz="6" w:space="0" w:color="000000"/>
              <w:bottom w:val="single" w:sz="6" w:space="0" w:color="FFFFFF"/>
              <w:end w:val="single" w:sz="6" w:space="0" w:color="FFFFFF"/>
            </w:tcBorders>
          </w:tcPr>
          <w:p>
            <w:pPr>
              <w:pStyle w:val="Normal"/>
              <w:snapToGrid w:val="false"/>
              <w:spacing w:lineRule="exact" w:line="163"/>
              <w:rPr/>
            </w:pPr>
            <w:r>
              <w:rPr/>
            </w:r>
          </w:p>
          <w:p>
            <w:pPr>
              <w:pStyle w:val="Normal"/>
              <w:jc w:val="center"/>
              <w:rPr/>
            </w:pPr>
            <w:r>
              <w:rPr/>
              <w:t>January</w:t>
            </w:r>
          </w:p>
        </w:tc>
        <w:tc>
          <w:tcPr>
            <w:tcW w:w="4680" w:type="dxa"/>
            <w:tcBorders>
              <w:top w:val="single" w:sz="6" w:space="0" w:color="000000"/>
              <w:start w:val="single" w:sz="6" w:space="0" w:color="000000"/>
              <w:bottom w:val="single" w:sz="6" w:space="0" w:color="FFFFFF"/>
              <w:end w:val="double" w:sz="6" w:space="0" w:color="000000"/>
            </w:tcBorders>
          </w:tcPr>
          <w:p>
            <w:pPr>
              <w:pStyle w:val="Normal"/>
              <w:snapToGrid w:val="false"/>
              <w:spacing w:lineRule="exact" w:line="163"/>
              <w:rPr/>
            </w:pPr>
            <w:r>
              <w:rPr/>
            </w:r>
          </w:p>
          <w:p>
            <w:pPr>
              <w:pStyle w:val="Normal"/>
              <w:jc w:val="center"/>
              <w:rPr/>
            </w:pPr>
            <w:r>
              <w:rPr/>
              <w:t>4%</w:t>
            </w:r>
          </w:p>
        </w:tc>
      </w:tr>
      <w:tr>
        <w:trPr/>
        <w:tc>
          <w:tcPr>
            <w:tcW w:w="4680" w:type="dxa"/>
            <w:tcBorders>
              <w:top w:val="single" w:sz="6" w:space="0" w:color="000000"/>
              <w:start w:val="double" w:sz="6" w:space="0" w:color="000000"/>
              <w:bottom w:val="single" w:sz="6" w:space="0" w:color="FFFFFF"/>
              <w:end w:val="single" w:sz="6" w:space="0" w:color="FFFFFF"/>
            </w:tcBorders>
          </w:tcPr>
          <w:p>
            <w:pPr>
              <w:pStyle w:val="Normal"/>
              <w:snapToGrid w:val="false"/>
              <w:spacing w:lineRule="exact" w:line="163"/>
              <w:rPr/>
            </w:pPr>
            <w:r>
              <w:rPr/>
            </w:r>
          </w:p>
          <w:p>
            <w:pPr>
              <w:pStyle w:val="Normal"/>
              <w:jc w:val="center"/>
              <w:rPr/>
            </w:pPr>
            <w:r>
              <w:rPr/>
              <w:t>February</w:t>
            </w:r>
          </w:p>
        </w:tc>
        <w:tc>
          <w:tcPr>
            <w:tcW w:w="4680" w:type="dxa"/>
            <w:tcBorders>
              <w:top w:val="single" w:sz="6" w:space="0" w:color="000000"/>
              <w:start w:val="single" w:sz="6" w:space="0" w:color="000000"/>
              <w:bottom w:val="single" w:sz="6" w:space="0" w:color="FFFFFF"/>
              <w:end w:val="double" w:sz="6" w:space="0" w:color="000000"/>
            </w:tcBorders>
          </w:tcPr>
          <w:p>
            <w:pPr>
              <w:pStyle w:val="Normal"/>
              <w:snapToGrid w:val="false"/>
              <w:spacing w:lineRule="exact" w:line="163"/>
              <w:rPr/>
            </w:pPr>
            <w:r>
              <w:rPr/>
            </w:r>
          </w:p>
          <w:p>
            <w:pPr>
              <w:pStyle w:val="Normal"/>
              <w:jc w:val="center"/>
              <w:rPr/>
            </w:pPr>
            <w:r>
              <w:rPr/>
              <w:t>4%</w:t>
            </w:r>
          </w:p>
        </w:tc>
      </w:tr>
      <w:tr>
        <w:trPr/>
        <w:tc>
          <w:tcPr>
            <w:tcW w:w="4680" w:type="dxa"/>
            <w:tcBorders>
              <w:top w:val="single" w:sz="6" w:space="0" w:color="000000"/>
              <w:start w:val="double" w:sz="6" w:space="0" w:color="000000"/>
              <w:bottom w:val="single" w:sz="6" w:space="0" w:color="FFFFFF"/>
              <w:end w:val="single" w:sz="6" w:space="0" w:color="FFFFFF"/>
            </w:tcBorders>
          </w:tcPr>
          <w:p>
            <w:pPr>
              <w:pStyle w:val="Normal"/>
              <w:snapToGrid w:val="false"/>
              <w:spacing w:lineRule="exact" w:line="163"/>
              <w:rPr/>
            </w:pPr>
            <w:r>
              <w:rPr/>
            </w:r>
          </w:p>
          <w:p>
            <w:pPr>
              <w:pStyle w:val="Normal"/>
              <w:jc w:val="center"/>
              <w:rPr/>
            </w:pPr>
            <w:r>
              <w:rPr/>
              <w:t>March</w:t>
            </w:r>
          </w:p>
        </w:tc>
        <w:tc>
          <w:tcPr>
            <w:tcW w:w="4680" w:type="dxa"/>
            <w:tcBorders>
              <w:top w:val="single" w:sz="6" w:space="0" w:color="000000"/>
              <w:start w:val="single" w:sz="6" w:space="0" w:color="000000"/>
              <w:bottom w:val="single" w:sz="6" w:space="0" w:color="FFFFFF"/>
              <w:end w:val="double" w:sz="6" w:space="0" w:color="000000"/>
            </w:tcBorders>
          </w:tcPr>
          <w:p>
            <w:pPr>
              <w:pStyle w:val="Normal"/>
              <w:snapToGrid w:val="false"/>
              <w:spacing w:lineRule="exact" w:line="163"/>
              <w:rPr/>
            </w:pPr>
            <w:r>
              <w:rPr/>
            </w:r>
          </w:p>
          <w:p>
            <w:pPr>
              <w:pStyle w:val="Normal"/>
              <w:jc w:val="center"/>
              <w:rPr/>
            </w:pPr>
            <w:r>
              <w:rPr/>
              <w:t>2%</w:t>
            </w:r>
          </w:p>
        </w:tc>
      </w:tr>
      <w:tr>
        <w:trPr/>
        <w:tc>
          <w:tcPr>
            <w:tcW w:w="4680" w:type="dxa"/>
            <w:tcBorders>
              <w:top w:val="single" w:sz="6" w:space="0" w:color="000000"/>
              <w:start w:val="double" w:sz="6" w:space="0" w:color="000000"/>
              <w:bottom w:val="single" w:sz="6" w:space="0" w:color="FFFFFF"/>
              <w:end w:val="single" w:sz="6" w:space="0" w:color="FFFFFF"/>
            </w:tcBorders>
          </w:tcPr>
          <w:p>
            <w:pPr>
              <w:pStyle w:val="Normal"/>
              <w:snapToGrid w:val="false"/>
              <w:spacing w:lineRule="exact" w:line="163"/>
              <w:rPr/>
            </w:pPr>
            <w:r>
              <w:rPr/>
            </w:r>
          </w:p>
          <w:p>
            <w:pPr>
              <w:pStyle w:val="Normal"/>
              <w:jc w:val="center"/>
              <w:rPr/>
            </w:pPr>
            <w:r>
              <w:rPr/>
              <w:t>April</w:t>
            </w:r>
          </w:p>
        </w:tc>
        <w:tc>
          <w:tcPr>
            <w:tcW w:w="4680" w:type="dxa"/>
            <w:tcBorders>
              <w:top w:val="single" w:sz="6" w:space="0" w:color="000000"/>
              <w:start w:val="single" w:sz="6" w:space="0" w:color="000000"/>
              <w:bottom w:val="single" w:sz="6" w:space="0" w:color="FFFFFF"/>
              <w:end w:val="double" w:sz="6" w:space="0" w:color="000000"/>
            </w:tcBorders>
          </w:tcPr>
          <w:p>
            <w:pPr>
              <w:pStyle w:val="Normal"/>
              <w:snapToGrid w:val="false"/>
              <w:spacing w:lineRule="exact" w:line="163"/>
              <w:rPr/>
            </w:pPr>
            <w:r>
              <w:rPr/>
            </w:r>
          </w:p>
          <w:p>
            <w:pPr>
              <w:pStyle w:val="Normal"/>
              <w:jc w:val="center"/>
              <w:rPr/>
            </w:pPr>
            <w:r>
              <w:rPr/>
              <w:t>2%</w:t>
            </w:r>
          </w:p>
        </w:tc>
      </w:tr>
      <w:tr>
        <w:trPr/>
        <w:tc>
          <w:tcPr>
            <w:tcW w:w="4680" w:type="dxa"/>
            <w:tcBorders>
              <w:top w:val="single" w:sz="6" w:space="0" w:color="000000"/>
              <w:start w:val="double" w:sz="6" w:space="0" w:color="000000"/>
              <w:bottom w:val="single" w:sz="6" w:space="0" w:color="FFFFFF"/>
              <w:end w:val="single" w:sz="6" w:space="0" w:color="FFFFFF"/>
            </w:tcBorders>
          </w:tcPr>
          <w:p>
            <w:pPr>
              <w:pStyle w:val="Normal"/>
              <w:snapToGrid w:val="false"/>
              <w:spacing w:lineRule="exact" w:line="163"/>
              <w:rPr/>
            </w:pPr>
            <w:r>
              <w:rPr/>
            </w:r>
          </w:p>
          <w:p>
            <w:pPr>
              <w:pStyle w:val="Normal"/>
              <w:jc w:val="center"/>
              <w:rPr/>
            </w:pPr>
            <w:r>
              <w:rPr/>
              <w:t>May</w:t>
            </w:r>
          </w:p>
        </w:tc>
        <w:tc>
          <w:tcPr>
            <w:tcW w:w="4680" w:type="dxa"/>
            <w:tcBorders>
              <w:top w:val="single" w:sz="6" w:space="0" w:color="000000"/>
              <w:start w:val="single" w:sz="6" w:space="0" w:color="000000"/>
              <w:bottom w:val="single" w:sz="6" w:space="0" w:color="FFFFFF"/>
              <w:end w:val="double" w:sz="6" w:space="0" w:color="000000"/>
            </w:tcBorders>
          </w:tcPr>
          <w:p>
            <w:pPr>
              <w:pStyle w:val="Normal"/>
              <w:snapToGrid w:val="false"/>
              <w:spacing w:lineRule="exact" w:line="163"/>
              <w:rPr/>
            </w:pPr>
            <w:r>
              <w:rPr/>
            </w:r>
          </w:p>
          <w:p>
            <w:pPr>
              <w:pStyle w:val="Normal"/>
              <w:jc w:val="center"/>
              <w:rPr/>
            </w:pPr>
            <w:r>
              <w:rPr/>
              <w:t>3%</w:t>
            </w:r>
          </w:p>
        </w:tc>
      </w:tr>
      <w:tr>
        <w:trPr/>
        <w:tc>
          <w:tcPr>
            <w:tcW w:w="4680" w:type="dxa"/>
            <w:tcBorders>
              <w:top w:val="single" w:sz="6" w:space="0" w:color="000000"/>
              <w:start w:val="double" w:sz="6" w:space="0" w:color="000000"/>
              <w:bottom w:val="single" w:sz="6" w:space="0" w:color="FFFFFF"/>
              <w:end w:val="single" w:sz="6" w:space="0" w:color="FFFFFF"/>
            </w:tcBorders>
          </w:tcPr>
          <w:p>
            <w:pPr>
              <w:pStyle w:val="Normal"/>
              <w:snapToGrid w:val="false"/>
              <w:spacing w:lineRule="exact" w:line="163"/>
              <w:rPr/>
            </w:pPr>
            <w:r>
              <w:rPr/>
            </w:r>
          </w:p>
          <w:p>
            <w:pPr>
              <w:pStyle w:val="Normal"/>
              <w:jc w:val="center"/>
              <w:rPr/>
            </w:pPr>
            <w:r>
              <w:rPr/>
              <w:t>June</w:t>
            </w:r>
          </w:p>
        </w:tc>
        <w:tc>
          <w:tcPr>
            <w:tcW w:w="4680" w:type="dxa"/>
            <w:tcBorders>
              <w:top w:val="single" w:sz="6" w:space="0" w:color="000000"/>
              <w:start w:val="single" w:sz="6" w:space="0" w:color="000000"/>
              <w:bottom w:val="single" w:sz="6" w:space="0" w:color="FFFFFF"/>
              <w:end w:val="double" w:sz="6" w:space="0" w:color="000000"/>
            </w:tcBorders>
          </w:tcPr>
          <w:p>
            <w:pPr>
              <w:pStyle w:val="Normal"/>
              <w:snapToGrid w:val="false"/>
              <w:spacing w:lineRule="exact" w:line="163"/>
              <w:rPr/>
            </w:pPr>
            <w:r>
              <w:rPr/>
            </w:r>
          </w:p>
          <w:p>
            <w:pPr>
              <w:pStyle w:val="Normal"/>
              <w:jc w:val="center"/>
              <w:rPr/>
            </w:pPr>
            <w:r>
              <w:rPr/>
              <w:t>13%</w:t>
            </w:r>
          </w:p>
        </w:tc>
      </w:tr>
      <w:tr>
        <w:trPr/>
        <w:tc>
          <w:tcPr>
            <w:tcW w:w="4680" w:type="dxa"/>
            <w:tcBorders>
              <w:top w:val="single" w:sz="6" w:space="0" w:color="000000"/>
              <w:start w:val="double" w:sz="6" w:space="0" w:color="000000"/>
              <w:bottom w:val="single" w:sz="6" w:space="0" w:color="FFFFFF"/>
              <w:end w:val="single" w:sz="6" w:space="0" w:color="FFFFFF"/>
            </w:tcBorders>
          </w:tcPr>
          <w:p>
            <w:pPr>
              <w:pStyle w:val="Normal"/>
              <w:snapToGrid w:val="false"/>
              <w:spacing w:lineRule="exact" w:line="163"/>
              <w:rPr/>
            </w:pPr>
            <w:r>
              <w:rPr/>
            </w:r>
          </w:p>
          <w:p>
            <w:pPr>
              <w:pStyle w:val="Normal"/>
              <w:jc w:val="center"/>
              <w:rPr/>
            </w:pPr>
            <w:r>
              <w:rPr/>
              <w:t>July</w:t>
            </w:r>
          </w:p>
        </w:tc>
        <w:tc>
          <w:tcPr>
            <w:tcW w:w="4680" w:type="dxa"/>
            <w:tcBorders>
              <w:top w:val="single" w:sz="6" w:space="0" w:color="000000"/>
              <w:start w:val="single" w:sz="6" w:space="0" w:color="000000"/>
              <w:bottom w:val="single" w:sz="6" w:space="0" w:color="FFFFFF"/>
              <w:end w:val="double" w:sz="6" w:space="0" w:color="000000"/>
            </w:tcBorders>
          </w:tcPr>
          <w:p>
            <w:pPr>
              <w:pStyle w:val="Normal"/>
              <w:snapToGrid w:val="false"/>
              <w:spacing w:lineRule="exact" w:line="163"/>
              <w:rPr/>
            </w:pPr>
            <w:r>
              <w:rPr/>
            </w:r>
          </w:p>
          <w:p>
            <w:pPr>
              <w:pStyle w:val="Normal"/>
              <w:jc w:val="center"/>
              <w:rPr/>
            </w:pPr>
            <w:r>
              <w:rPr/>
              <w:t>30%</w:t>
            </w:r>
          </w:p>
        </w:tc>
      </w:tr>
      <w:tr>
        <w:trPr/>
        <w:tc>
          <w:tcPr>
            <w:tcW w:w="4680" w:type="dxa"/>
            <w:tcBorders>
              <w:top w:val="single" w:sz="6" w:space="0" w:color="000000"/>
              <w:start w:val="double" w:sz="6" w:space="0" w:color="000000"/>
              <w:bottom w:val="single" w:sz="6" w:space="0" w:color="FFFFFF"/>
              <w:end w:val="single" w:sz="6" w:space="0" w:color="FFFFFF"/>
            </w:tcBorders>
          </w:tcPr>
          <w:p>
            <w:pPr>
              <w:pStyle w:val="Normal"/>
              <w:snapToGrid w:val="false"/>
              <w:spacing w:lineRule="exact" w:line="163"/>
              <w:rPr/>
            </w:pPr>
            <w:r>
              <w:rPr/>
            </w:r>
          </w:p>
          <w:p>
            <w:pPr>
              <w:pStyle w:val="Normal"/>
              <w:jc w:val="center"/>
              <w:rPr/>
            </w:pPr>
            <w:r>
              <w:rPr/>
              <w:t>August</w:t>
            </w:r>
          </w:p>
        </w:tc>
        <w:tc>
          <w:tcPr>
            <w:tcW w:w="4680" w:type="dxa"/>
            <w:tcBorders>
              <w:top w:val="single" w:sz="6" w:space="0" w:color="000000"/>
              <w:start w:val="single" w:sz="6" w:space="0" w:color="000000"/>
              <w:bottom w:val="single" w:sz="6" w:space="0" w:color="FFFFFF"/>
              <w:end w:val="double" w:sz="6" w:space="0" w:color="000000"/>
            </w:tcBorders>
          </w:tcPr>
          <w:p>
            <w:pPr>
              <w:pStyle w:val="Normal"/>
              <w:snapToGrid w:val="false"/>
              <w:spacing w:lineRule="exact" w:line="163"/>
              <w:rPr/>
            </w:pPr>
            <w:r>
              <w:rPr/>
            </w:r>
          </w:p>
          <w:p>
            <w:pPr>
              <w:pStyle w:val="Normal"/>
              <w:jc w:val="center"/>
              <w:rPr/>
            </w:pPr>
            <w:r>
              <w:rPr/>
              <w:t>30%</w:t>
            </w:r>
          </w:p>
        </w:tc>
      </w:tr>
      <w:tr>
        <w:trPr/>
        <w:tc>
          <w:tcPr>
            <w:tcW w:w="4680" w:type="dxa"/>
            <w:tcBorders>
              <w:top w:val="single" w:sz="6" w:space="0" w:color="000000"/>
              <w:start w:val="double" w:sz="6" w:space="0" w:color="000000"/>
              <w:bottom w:val="single" w:sz="6" w:space="0" w:color="FFFFFF"/>
              <w:end w:val="single" w:sz="6" w:space="0" w:color="FFFFFF"/>
            </w:tcBorders>
          </w:tcPr>
          <w:p>
            <w:pPr>
              <w:pStyle w:val="Normal"/>
              <w:snapToGrid w:val="false"/>
              <w:spacing w:lineRule="exact" w:line="163"/>
              <w:rPr/>
            </w:pPr>
            <w:r>
              <w:rPr/>
            </w:r>
          </w:p>
          <w:p>
            <w:pPr>
              <w:pStyle w:val="Normal"/>
              <w:jc w:val="center"/>
              <w:rPr/>
            </w:pPr>
            <w:r>
              <w:rPr/>
              <w:t>September</w:t>
            </w:r>
          </w:p>
        </w:tc>
        <w:tc>
          <w:tcPr>
            <w:tcW w:w="4680" w:type="dxa"/>
            <w:tcBorders>
              <w:top w:val="single" w:sz="6" w:space="0" w:color="000000"/>
              <w:start w:val="single" w:sz="6" w:space="0" w:color="000000"/>
              <w:bottom w:val="single" w:sz="6" w:space="0" w:color="FFFFFF"/>
              <w:end w:val="double" w:sz="6" w:space="0" w:color="000000"/>
            </w:tcBorders>
          </w:tcPr>
          <w:p>
            <w:pPr>
              <w:pStyle w:val="Normal"/>
              <w:snapToGrid w:val="false"/>
              <w:spacing w:lineRule="exact" w:line="163"/>
              <w:rPr/>
            </w:pPr>
            <w:r>
              <w:rPr/>
            </w:r>
          </w:p>
          <w:p>
            <w:pPr>
              <w:pStyle w:val="Normal"/>
              <w:jc w:val="center"/>
              <w:rPr/>
            </w:pPr>
            <w:r>
              <w:rPr/>
              <w:t>6%</w:t>
            </w:r>
          </w:p>
        </w:tc>
      </w:tr>
      <w:tr>
        <w:trPr/>
        <w:tc>
          <w:tcPr>
            <w:tcW w:w="4680" w:type="dxa"/>
            <w:tcBorders>
              <w:top w:val="single" w:sz="6" w:space="0" w:color="000000"/>
              <w:start w:val="double" w:sz="6" w:space="0" w:color="000000"/>
              <w:bottom w:val="single" w:sz="6" w:space="0" w:color="FFFFFF"/>
              <w:end w:val="single" w:sz="6" w:space="0" w:color="FFFFFF"/>
            </w:tcBorders>
          </w:tcPr>
          <w:p>
            <w:pPr>
              <w:pStyle w:val="Normal"/>
              <w:snapToGrid w:val="false"/>
              <w:spacing w:lineRule="exact" w:line="163"/>
              <w:rPr/>
            </w:pPr>
            <w:r>
              <w:rPr/>
            </w:r>
          </w:p>
          <w:p>
            <w:pPr>
              <w:pStyle w:val="Normal"/>
              <w:jc w:val="center"/>
              <w:rPr/>
            </w:pPr>
            <w:r>
              <w:rPr/>
              <w:t>October</w:t>
            </w:r>
          </w:p>
        </w:tc>
        <w:tc>
          <w:tcPr>
            <w:tcW w:w="4680" w:type="dxa"/>
            <w:tcBorders>
              <w:top w:val="single" w:sz="6" w:space="0" w:color="000000"/>
              <w:start w:val="single" w:sz="6" w:space="0" w:color="000000"/>
              <w:bottom w:val="single" w:sz="6" w:space="0" w:color="FFFFFF"/>
              <w:end w:val="double" w:sz="6" w:space="0" w:color="000000"/>
            </w:tcBorders>
          </w:tcPr>
          <w:p>
            <w:pPr>
              <w:pStyle w:val="Normal"/>
              <w:snapToGrid w:val="false"/>
              <w:spacing w:lineRule="exact" w:line="163"/>
              <w:rPr/>
            </w:pPr>
            <w:r>
              <w:rPr/>
            </w:r>
          </w:p>
          <w:p>
            <w:pPr>
              <w:pStyle w:val="Normal"/>
              <w:jc w:val="center"/>
              <w:rPr/>
            </w:pPr>
            <w:r>
              <w:rPr/>
              <w:t>2%</w:t>
            </w:r>
          </w:p>
        </w:tc>
      </w:tr>
      <w:tr>
        <w:trPr/>
        <w:tc>
          <w:tcPr>
            <w:tcW w:w="4680" w:type="dxa"/>
            <w:tcBorders>
              <w:top w:val="single" w:sz="6" w:space="0" w:color="000000"/>
              <w:start w:val="double" w:sz="6" w:space="0" w:color="000000"/>
              <w:bottom w:val="single" w:sz="6" w:space="0" w:color="FFFFFF"/>
              <w:end w:val="single" w:sz="6" w:space="0" w:color="FFFFFF"/>
            </w:tcBorders>
          </w:tcPr>
          <w:p>
            <w:pPr>
              <w:pStyle w:val="Normal"/>
              <w:snapToGrid w:val="false"/>
              <w:spacing w:lineRule="exact" w:line="163"/>
              <w:rPr/>
            </w:pPr>
            <w:r>
              <w:rPr/>
            </w:r>
          </w:p>
          <w:p>
            <w:pPr>
              <w:pStyle w:val="Normal"/>
              <w:jc w:val="center"/>
              <w:rPr/>
            </w:pPr>
            <w:r>
              <w:rPr/>
              <w:t>November</w:t>
            </w:r>
          </w:p>
        </w:tc>
        <w:tc>
          <w:tcPr>
            <w:tcW w:w="4680" w:type="dxa"/>
            <w:tcBorders>
              <w:top w:val="single" w:sz="6" w:space="0" w:color="000000"/>
              <w:start w:val="single" w:sz="6" w:space="0" w:color="000000"/>
              <w:bottom w:val="single" w:sz="6" w:space="0" w:color="FFFFFF"/>
              <w:end w:val="double" w:sz="6" w:space="0" w:color="000000"/>
            </w:tcBorders>
          </w:tcPr>
          <w:p>
            <w:pPr>
              <w:pStyle w:val="Normal"/>
              <w:snapToGrid w:val="false"/>
              <w:spacing w:lineRule="exact" w:line="163"/>
              <w:rPr/>
            </w:pPr>
            <w:r>
              <w:rPr/>
            </w:r>
          </w:p>
          <w:p>
            <w:pPr>
              <w:pStyle w:val="Normal"/>
              <w:jc w:val="center"/>
              <w:rPr/>
            </w:pPr>
            <w:r>
              <w:rPr/>
              <w:t>2%</w:t>
            </w:r>
          </w:p>
        </w:tc>
      </w:tr>
      <w:tr>
        <w:trPr/>
        <w:tc>
          <w:tcPr>
            <w:tcW w:w="4680" w:type="dxa"/>
            <w:tcBorders>
              <w:top w:val="single" w:sz="6" w:space="0" w:color="000000"/>
              <w:start w:val="double" w:sz="6" w:space="0" w:color="000000"/>
              <w:bottom w:val="double" w:sz="6" w:space="0" w:color="000000"/>
              <w:end w:val="single" w:sz="6" w:space="0" w:color="FFFFFF"/>
            </w:tcBorders>
          </w:tcPr>
          <w:p>
            <w:pPr>
              <w:pStyle w:val="Normal"/>
              <w:snapToGrid w:val="false"/>
              <w:spacing w:lineRule="exact" w:line="163"/>
              <w:rPr/>
            </w:pPr>
            <w:r>
              <w:rPr/>
            </w:r>
          </w:p>
          <w:p>
            <w:pPr>
              <w:pStyle w:val="Normal"/>
              <w:spacing w:before="0" w:after="58"/>
              <w:jc w:val="center"/>
              <w:rPr/>
            </w:pPr>
            <w:r>
              <w:rPr/>
              <w:t>December</w:t>
            </w:r>
          </w:p>
        </w:tc>
        <w:tc>
          <w:tcPr>
            <w:tcW w:w="4680" w:type="dxa"/>
            <w:tcBorders>
              <w:top w:val="single" w:sz="6" w:space="0" w:color="000000"/>
              <w:start w:val="single" w:sz="6" w:space="0" w:color="000000"/>
              <w:bottom w:val="double" w:sz="6" w:space="0" w:color="000000"/>
              <w:end w:val="double" w:sz="6" w:space="0" w:color="000000"/>
            </w:tcBorders>
          </w:tcPr>
          <w:p>
            <w:pPr>
              <w:pStyle w:val="Normal"/>
              <w:snapToGrid w:val="false"/>
              <w:spacing w:lineRule="exact" w:line="163"/>
              <w:rPr/>
            </w:pPr>
            <w:r>
              <w:rPr/>
            </w:r>
          </w:p>
          <w:p>
            <w:pPr>
              <w:pStyle w:val="Normal"/>
              <w:spacing w:before="0" w:after="58"/>
              <w:jc w:val="center"/>
              <w:rPr/>
            </w:pPr>
            <w:r>
              <w:rPr/>
              <w:t>2%</w:t>
            </w:r>
          </w:p>
        </w:tc>
      </w:tr>
    </w:tbl>
    <w:p>
      <w:pPr>
        <w:pStyle w:val="Normal"/>
        <w:tabs>
          <w:tab w:val="left" w:pos="720" w:leader="none"/>
          <w:tab w:val="left" w:pos="2160" w:leader="none"/>
        </w:tabs>
        <w:spacing w:before="0" w:after="240"/>
        <w:jc w:val="both"/>
        <w:rPr/>
      </w:pPr>
      <w:r>
        <w:rPr/>
      </w:r>
      <w:r>
        <w:br w:type="page"/>
      </w:r>
    </w:p>
    <w:p>
      <w:pPr>
        <w:pStyle w:val="Normal"/>
        <w:numPr>
          <w:ilvl w:val="0"/>
          <w:numId w:val="4"/>
        </w:numPr>
        <w:tabs>
          <w:tab w:val="clear" w:pos="720"/>
          <w:tab w:val="left" w:pos="2160" w:leader="none"/>
        </w:tabs>
        <w:spacing w:before="0" w:after="240"/>
        <w:ind w:hanging="720" w:start="1080" w:end="0"/>
        <w:jc w:val="both"/>
        <w:rPr>
          <w:i/>
          <w:i/>
        </w:rPr>
      </w:pPr>
      <w:r>
        <w:rPr>
          <w:u w:val="single"/>
        </w:rPr>
        <w:t>Monthly Performance Adjustment:</w:t>
      </w:r>
      <w:r>
        <w:rPr/>
        <w:t xml:space="preserve"> During the term of this Agreement, the Monthly Performance Adjustment shall be calculated in accordance with the formula below. The Monthly Performance Adjustment does not start until the Units have achieved Commercial Operation. </w:t>
      </w:r>
    </w:p>
    <w:p>
      <w:pPr>
        <w:pStyle w:val="Normal"/>
        <w:tabs>
          <w:tab w:val="clear" w:pos="720"/>
          <w:tab w:val="left" w:pos="-1440" w:leader="none"/>
        </w:tabs>
        <w:spacing w:before="0" w:after="240"/>
        <w:ind w:start="1080" w:end="0"/>
        <w:jc w:val="both"/>
        <w:rPr/>
      </w:pPr>
      <w:r>
        <w:rPr/>
        <w:t>The Monthly Performance Adjustment (MPA) for each month shall be:</w:t>
      </w:r>
    </w:p>
    <w:p>
      <w:pPr>
        <w:pStyle w:val="Normal"/>
        <w:tabs>
          <w:tab w:val="clear" w:pos="720"/>
          <w:tab w:val="left" w:pos="-1440" w:leader="none"/>
        </w:tabs>
        <w:jc w:val="both"/>
        <w:rPr/>
      </w:pPr>
      <w:r>
        <w:rPr/>
        <w:tab/>
        <w:tab/>
        <w:t>MPA = CC x VF x ACC x [(DMO – DD – FMD)/DMO] x PAF</w:t>
      </w:r>
    </w:p>
    <w:p>
      <w:pPr>
        <w:pStyle w:val="Normal"/>
        <w:tabs>
          <w:tab w:val="clear" w:pos="720"/>
          <w:tab w:val="left" w:pos="-1440" w:leader="none"/>
        </w:tabs>
        <w:jc w:val="both"/>
        <w:rPr/>
      </w:pPr>
      <w:r>
        <w:rPr/>
      </w:r>
    </w:p>
    <w:p>
      <w:pPr>
        <w:pStyle w:val="Normal"/>
        <w:tabs>
          <w:tab w:val="clear" w:pos="720"/>
          <w:tab w:val="left" w:pos="-1440" w:leader="none"/>
        </w:tabs>
        <w:ind w:hanging="720" w:start="2160" w:end="0"/>
        <w:jc w:val="both"/>
        <w:rPr/>
      </w:pPr>
      <w:r>
        <w:rPr/>
        <w:t>Where:</w:t>
      </w:r>
    </w:p>
    <w:p>
      <w:pPr>
        <w:pStyle w:val="Normal"/>
        <w:tabs>
          <w:tab w:val="clear" w:pos="720"/>
          <w:tab w:val="left" w:pos="-1440" w:leader="none"/>
        </w:tabs>
        <w:ind w:hanging="720" w:start="2160" w:end="0"/>
        <w:jc w:val="both"/>
        <w:rPr/>
      </w:pPr>
      <w:r>
        <w:rPr/>
      </w:r>
    </w:p>
    <w:p>
      <w:pPr>
        <w:pStyle w:val="Normal"/>
        <w:spacing w:before="0" w:after="240"/>
        <w:ind w:firstLine="720" w:start="1440" w:end="0"/>
        <w:jc w:val="both"/>
        <w:rPr/>
      </w:pPr>
      <w:r>
        <w:rPr/>
        <w:t>CC</w:t>
        <w:tab/>
        <w:t>=</w:t>
        <w:tab/>
        <w:t>Contract Capacity, expressed in kW;</w:t>
      </w:r>
    </w:p>
    <w:p>
      <w:pPr>
        <w:pStyle w:val="Normal"/>
        <w:tabs>
          <w:tab w:val="clear" w:pos="720"/>
          <w:tab w:val="left" w:pos="-1440" w:leader="none"/>
        </w:tabs>
        <w:ind w:hanging="720" w:start="2160" w:end="0"/>
        <w:jc w:val="both"/>
        <w:rPr/>
      </w:pPr>
      <w:r>
        <w:rPr/>
        <w:tab/>
        <w:t>VF</w:t>
        <w:tab/>
        <w:t>=</w:t>
        <w:tab/>
        <w:t>is the Value Factor for each month as shown in</w:t>
      </w:r>
    </w:p>
    <w:p>
      <w:pPr>
        <w:pStyle w:val="Normal"/>
        <w:tabs>
          <w:tab w:val="clear" w:pos="720"/>
          <w:tab w:val="left" w:pos="-1440" w:leader="none"/>
        </w:tabs>
        <w:ind w:hanging="720" w:start="2160" w:end="0"/>
        <w:jc w:val="both"/>
        <w:rPr/>
      </w:pPr>
      <w:r>
        <w:rPr/>
        <w:tab/>
        <w:tab/>
        <w:tab/>
        <w:t xml:space="preserve">Table  5.1.1A above (expressed as a decimal); </w:t>
      </w:r>
    </w:p>
    <w:p>
      <w:pPr>
        <w:pStyle w:val="Normal"/>
        <w:tabs>
          <w:tab w:val="clear" w:pos="720"/>
          <w:tab w:val="left" w:pos="-1440" w:leader="none"/>
        </w:tabs>
        <w:ind w:hanging="720" w:start="2160" w:end="0"/>
        <w:jc w:val="both"/>
        <w:rPr/>
      </w:pPr>
      <w:r>
        <w:rPr/>
      </w:r>
    </w:p>
    <w:p>
      <w:pPr>
        <w:pStyle w:val="Normal"/>
        <w:tabs>
          <w:tab w:val="clear" w:pos="720"/>
          <w:tab w:val="left" w:pos="-1440" w:leader="none"/>
        </w:tabs>
        <w:ind w:hanging="720" w:start="2160" w:end="0"/>
        <w:jc w:val="both"/>
        <w:rPr/>
      </w:pPr>
      <w:r>
        <w:rPr/>
        <w:tab/>
        <w:t>ACC</w:t>
        <w:tab/>
        <w:t>=</w:t>
        <w:tab/>
        <w:t>Annual Capacity Charge from Table ____;</w:t>
      </w:r>
    </w:p>
    <w:p>
      <w:pPr>
        <w:pStyle w:val="Normal"/>
        <w:tabs>
          <w:tab w:val="clear" w:pos="720"/>
          <w:tab w:val="left" w:pos="-1440" w:leader="none"/>
        </w:tabs>
        <w:ind w:hanging="720" w:start="2160" w:end="0"/>
        <w:jc w:val="both"/>
        <w:rPr/>
      </w:pPr>
      <w:r>
        <w:rPr/>
      </w:r>
    </w:p>
    <w:p>
      <w:pPr>
        <w:pStyle w:val="Normal"/>
        <w:tabs>
          <w:tab w:val="clear" w:pos="720"/>
          <w:tab w:val="left" w:pos="-1440" w:leader="none"/>
        </w:tabs>
        <w:jc w:val="both"/>
        <w:rPr/>
      </w:pPr>
      <w:r>
        <w:rPr/>
        <w:tab/>
        <w:tab/>
        <w:tab/>
        <w:t>DMO</w:t>
        <w:tab/>
        <w:t>=</w:t>
        <w:tab/>
        <w:t>is the number of days in the month;</w:t>
      </w:r>
    </w:p>
    <w:p>
      <w:pPr>
        <w:pStyle w:val="Normal"/>
        <w:tabs>
          <w:tab w:val="clear" w:pos="720"/>
          <w:tab w:val="left" w:pos="-1440" w:leader="none"/>
        </w:tabs>
        <w:jc w:val="both"/>
        <w:rPr/>
      </w:pPr>
      <w:r>
        <w:rPr/>
      </w:r>
    </w:p>
    <w:p>
      <w:pPr>
        <w:pStyle w:val="BodyTextIndent"/>
        <w:ind w:hanging="720" w:start="2880" w:end="0"/>
        <w:rPr>
          <w:rFonts w:ascii="Times New Roman" w:hAnsi="Times New Roman" w:cs="Times New Roman"/>
          <w:sz w:val="24"/>
        </w:rPr>
      </w:pPr>
      <w:r>
        <w:rPr>
          <w:rFonts w:cs="Times New Roman" w:ascii="Times New Roman" w:hAnsi="Times New Roman"/>
          <w:sz w:val="24"/>
        </w:rPr>
        <w:t>DD</w:t>
        <w:tab/>
        <w:t>=</w:t>
        <w:tab/>
        <w:t xml:space="preserve"> is the number of days of delay in the month </w:t>
      </w:r>
    </w:p>
    <w:p>
      <w:pPr>
        <w:pStyle w:val="BodyTextIndent"/>
        <w:ind w:firstLine="720" w:start="2880" w:end="0"/>
        <w:rPr/>
      </w:pPr>
      <w:r>
        <w:rPr/>
        <w:t>of delivery delay; and</w:t>
      </w:r>
    </w:p>
    <w:p>
      <w:pPr>
        <w:pStyle w:val="Normal"/>
        <w:tabs>
          <w:tab w:val="clear" w:pos="720"/>
          <w:tab w:val="left" w:pos="-1440" w:leader="none"/>
        </w:tabs>
        <w:jc w:val="both"/>
        <w:rPr/>
      </w:pPr>
      <w:r>
        <w:rPr/>
      </w:r>
    </w:p>
    <w:p>
      <w:pPr>
        <w:pStyle w:val="Normal"/>
        <w:tabs>
          <w:tab w:val="clear" w:pos="720"/>
          <w:tab w:val="left" w:pos="-1440" w:leader="none"/>
        </w:tabs>
        <w:ind w:hanging="720" w:start="2160" w:end="0"/>
        <w:jc w:val="both"/>
        <w:rPr/>
      </w:pPr>
      <w:r>
        <w:rPr/>
        <w:tab/>
        <w:t>FMD</w:t>
        <w:tab/>
        <w:t>=</w:t>
        <w:tab/>
        <w:t>is the number of days impacted by a Force Majeure;</w:t>
      </w:r>
    </w:p>
    <w:p>
      <w:pPr>
        <w:pStyle w:val="Normal"/>
        <w:tabs>
          <w:tab w:val="clear" w:pos="720"/>
          <w:tab w:val="left" w:pos="-1440" w:leader="none"/>
        </w:tabs>
        <w:ind w:hanging="720" w:start="2160" w:end="0"/>
        <w:jc w:val="both"/>
        <w:rPr/>
      </w:pPr>
      <w:r>
        <w:rPr/>
      </w:r>
    </w:p>
    <w:p>
      <w:pPr>
        <w:pStyle w:val="Normal"/>
        <w:tabs>
          <w:tab w:val="clear" w:pos="720"/>
          <w:tab w:val="left" w:pos="-1440" w:leader="none"/>
        </w:tabs>
        <w:ind w:hanging="720" w:start="2160" w:end="0"/>
        <w:jc w:val="both"/>
        <w:rPr/>
      </w:pPr>
      <w:r>
        <w:rPr/>
        <w:tab/>
        <w:t>NCP</w:t>
        <w:tab/>
        <w:t>=</w:t>
        <w:tab/>
        <w:t>is the Nominal Capacity Payment for the month;</w:t>
      </w:r>
    </w:p>
    <w:p>
      <w:pPr>
        <w:pStyle w:val="Normal"/>
        <w:tabs>
          <w:tab w:val="clear" w:pos="720"/>
          <w:tab w:val="left" w:pos="-1440" w:leader="none"/>
        </w:tabs>
        <w:jc w:val="both"/>
        <w:rPr/>
      </w:pPr>
      <w:r>
        <w:rPr/>
      </w:r>
    </w:p>
    <w:p>
      <w:pPr>
        <w:pStyle w:val="Normal"/>
        <w:tabs>
          <w:tab w:val="clear" w:pos="720"/>
          <w:tab w:val="left" w:pos="-1440" w:leader="none"/>
        </w:tabs>
        <w:ind w:hanging="720" w:start="2160" w:end="0"/>
        <w:jc w:val="both"/>
        <w:rPr/>
      </w:pPr>
      <w:r>
        <w:rPr/>
        <w:tab/>
        <w:t>PAF</w:t>
        <w:tab/>
        <w:t>=</w:t>
        <w:tab/>
        <w:t>is the Performance Adjustment Factor (from Table</w:t>
      </w:r>
    </w:p>
    <w:p>
      <w:pPr>
        <w:pStyle w:val="Normal"/>
        <w:tabs>
          <w:tab w:val="clear" w:pos="720"/>
          <w:tab w:val="left" w:pos="-1440" w:leader="none"/>
        </w:tabs>
        <w:ind w:hanging="720" w:start="2160" w:end="0"/>
        <w:jc w:val="both"/>
        <w:rPr/>
      </w:pPr>
      <w:r>
        <w:rPr/>
        <w:tab/>
        <w:tab/>
        <w:tab/>
        <w:t xml:space="preserve">5.1.2A) corresponding to the calculated Delivery </w:t>
      </w:r>
    </w:p>
    <w:p>
      <w:pPr>
        <w:pStyle w:val="Normal"/>
        <w:tabs>
          <w:tab w:val="clear" w:pos="720"/>
          <w:tab w:val="left" w:pos="-1440" w:leader="none"/>
        </w:tabs>
        <w:ind w:hanging="720" w:start="2160" w:end="0"/>
        <w:jc w:val="both"/>
        <w:rPr/>
      </w:pPr>
      <w:r>
        <w:rPr/>
        <w:tab/>
        <w:tab/>
        <w:tab/>
        <w:t>Performance Factor (DPF) for the month.</w:t>
      </w:r>
    </w:p>
    <w:p>
      <w:pPr>
        <w:pStyle w:val="Normal"/>
        <w:tabs>
          <w:tab w:val="clear" w:pos="720"/>
          <w:tab w:val="left" w:pos="-1440" w:leader="none"/>
        </w:tabs>
        <w:ind w:hanging="720" w:start="2160" w:end="0"/>
        <w:jc w:val="both"/>
        <w:rPr/>
      </w:pPr>
      <w:r>
        <w:rPr/>
      </w:r>
    </w:p>
    <w:p>
      <w:pPr>
        <w:pStyle w:val="Normal"/>
        <w:tabs>
          <w:tab w:val="clear" w:pos="720"/>
          <w:tab w:val="left" w:pos="-1440" w:leader="none"/>
        </w:tabs>
        <w:ind w:hanging="720" w:start="2160" w:end="0"/>
        <w:jc w:val="both"/>
        <w:rPr/>
      </w:pPr>
      <w:r>
        <w:rPr/>
        <w:t>DPF</w:t>
        <w:tab/>
        <w:t>is the Delivery Performance Factor for the month and is computed as follows:</w:t>
      </w:r>
    </w:p>
    <w:p>
      <w:pPr>
        <w:pStyle w:val="Normal"/>
        <w:tabs>
          <w:tab w:val="clear" w:pos="720"/>
          <w:tab w:val="left" w:pos="-1440" w:leader="none"/>
        </w:tabs>
        <w:ind w:hanging="720" w:start="2160" w:end="0"/>
        <w:jc w:val="both"/>
        <w:rPr/>
      </w:pPr>
      <w:r>
        <w:rPr/>
      </w:r>
    </w:p>
    <w:p>
      <w:pPr>
        <w:pStyle w:val="Normal"/>
        <w:rPr/>
      </w:pPr>
      <w:r>
        <w:rPr/>
        <w:tab/>
        <w:tab/>
        <w:tab/>
        <w:tab/>
        <w:t>DPF = Delivered MWh / Duke Scheduled MWh</w:t>
      </w:r>
    </w:p>
    <w:p>
      <w:pPr>
        <w:pStyle w:val="Normal"/>
        <w:rPr/>
      </w:pPr>
      <w:r>
        <w:rPr/>
      </w:r>
    </w:p>
    <w:p>
      <w:pPr>
        <w:pStyle w:val="Normal"/>
        <w:ind w:firstLine="720" w:start="2160" w:end="0"/>
        <w:rPr/>
      </w:pPr>
      <w:r>
        <w:rPr/>
        <w:t>Where:</w:t>
      </w:r>
    </w:p>
    <w:p>
      <w:pPr>
        <w:pStyle w:val="Normal"/>
        <w:ind w:firstLine="720" w:start="1440" w:end="0"/>
        <w:rPr/>
      </w:pPr>
      <w:r>
        <w:rPr/>
      </w:r>
    </w:p>
    <w:p>
      <w:pPr>
        <w:pStyle w:val="BodyTextIndent3"/>
        <w:widowControl/>
        <w:ind w:hanging="720" w:start="3600" w:end="0"/>
        <w:rPr/>
      </w:pPr>
      <w:r>
        <w:rPr/>
        <w:t>Delivered MWh represents the portion of the Duke Scheduled MWh successfully delivered by Seller to Duke Power, and</w:t>
      </w:r>
    </w:p>
    <w:p>
      <w:pPr>
        <w:pStyle w:val="BodyTextIndent3"/>
        <w:widowControl/>
        <w:ind w:hanging="720" w:start="3600" w:end="0"/>
        <w:rPr/>
      </w:pPr>
      <w:r>
        <w:rPr/>
        <w:t>Duke Scheduled MWh represents the generating capacity and associated energy deliveries scheduled from Seller by Duke Power.</w:t>
      </w:r>
      <w:r>
        <w:br w:type="page"/>
      </w:r>
    </w:p>
    <w:p>
      <w:pPr>
        <w:pStyle w:val="BodyTextIndent3"/>
        <w:widowControl/>
        <w:ind w:hanging="720" w:start="3600" w:end="0"/>
        <w:rPr/>
      </w:pPr>
      <w:r>
        <w:rPr/>
        <w:t>TABLE 5.1.2A</w:t>
      </w:r>
    </w:p>
    <w:tbl>
      <w:tblPr>
        <w:tblW w:w="7950" w:type="dxa"/>
        <w:jc w:val="start"/>
        <w:tblInd w:w="0" w:type="dxa"/>
        <w:tblLayout w:type="fixed"/>
        <w:tblCellMar>
          <w:top w:w="0" w:type="dxa"/>
          <w:start w:w="30" w:type="dxa"/>
          <w:bottom w:w="0" w:type="dxa"/>
          <w:end w:w="30" w:type="dxa"/>
        </w:tblCellMar>
      </w:tblPr>
      <w:tblGrid>
        <w:gridCol w:w="1987"/>
        <w:gridCol w:w="1988"/>
        <w:gridCol w:w="1987"/>
        <w:gridCol w:w="1988"/>
      </w:tblGrid>
      <w:tr>
        <w:trPr>
          <w:trHeight w:val="350" w:hRule="atLeast"/>
        </w:trPr>
        <w:tc>
          <w:tcPr>
            <w:tcW w:w="1987" w:type="dxa"/>
            <w:tcBorders>
              <w:top w:val="single" w:sz="4" w:space="0" w:color="000000"/>
              <w:start w:val="single" w:sz="4" w:space="0" w:color="000000"/>
              <w:bottom w:val="single" w:sz="4" w:space="0" w:color="000000"/>
            </w:tcBorders>
          </w:tcPr>
          <w:p>
            <w:pPr>
              <w:pStyle w:val="Normal"/>
              <w:jc w:val="center"/>
              <w:rPr>
                <w:b/>
                <w:color w:val="000000"/>
                <w:sz w:val="28"/>
                <w:lang w:eastAsia="en-US"/>
              </w:rPr>
            </w:pPr>
            <w:r>
              <w:rPr>
                <w:b/>
                <w:color w:val="000000"/>
                <w:sz w:val="28"/>
                <w:lang w:eastAsia="en-US"/>
              </w:rPr>
              <w:t>DPF</w:t>
            </w:r>
          </w:p>
        </w:tc>
        <w:tc>
          <w:tcPr>
            <w:tcW w:w="1988" w:type="dxa"/>
            <w:tcBorders>
              <w:top w:val="single" w:sz="18" w:space="0" w:color="000000"/>
              <w:start w:val="single" w:sz="18" w:space="0" w:color="000000"/>
              <w:bottom w:val="single" w:sz="18" w:space="0" w:color="000000"/>
              <w:end w:val="single" w:sz="18" w:space="0" w:color="000000"/>
            </w:tcBorders>
          </w:tcPr>
          <w:p>
            <w:pPr>
              <w:pStyle w:val="Normal"/>
              <w:jc w:val="center"/>
              <w:rPr>
                <w:b/>
                <w:color w:val="000000"/>
                <w:sz w:val="28"/>
                <w:lang w:eastAsia="en-US"/>
              </w:rPr>
            </w:pPr>
            <w:r>
              <w:rPr>
                <w:b/>
                <w:color w:val="000000"/>
                <w:sz w:val="28"/>
                <w:lang w:eastAsia="en-US"/>
              </w:rPr>
              <w:t>PAF</w:t>
            </w:r>
          </w:p>
        </w:tc>
        <w:tc>
          <w:tcPr>
            <w:tcW w:w="1987" w:type="dxa"/>
            <w:tcBorders>
              <w:top w:val="single" w:sz="4" w:space="0" w:color="000000"/>
              <w:bottom w:val="single" w:sz="4" w:space="0" w:color="000000"/>
            </w:tcBorders>
          </w:tcPr>
          <w:p>
            <w:pPr>
              <w:pStyle w:val="Normal"/>
              <w:jc w:val="center"/>
              <w:rPr>
                <w:b/>
                <w:color w:val="000000"/>
                <w:sz w:val="28"/>
                <w:lang w:eastAsia="en-US"/>
              </w:rPr>
            </w:pPr>
            <w:r>
              <w:rPr>
                <w:b/>
                <w:color w:val="000000"/>
                <w:sz w:val="28"/>
                <w:lang w:eastAsia="en-US"/>
              </w:rPr>
              <w:t>DPF</w:t>
            </w:r>
          </w:p>
        </w:tc>
        <w:tc>
          <w:tcPr>
            <w:tcW w:w="1988" w:type="dxa"/>
            <w:tcBorders>
              <w:top w:val="single" w:sz="18" w:space="0" w:color="000000"/>
              <w:start w:val="single" w:sz="18" w:space="0" w:color="000000"/>
              <w:bottom w:val="single" w:sz="18" w:space="0" w:color="000000"/>
              <w:end w:val="single" w:sz="18" w:space="0" w:color="000000"/>
            </w:tcBorders>
          </w:tcPr>
          <w:p>
            <w:pPr>
              <w:pStyle w:val="Normal"/>
              <w:jc w:val="center"/>
              <w:rPr>
                <w:b/>
                <w:color w:val="000000"/>
                <w:sz w:val="28"/>
                <w:lang w:eastAsia="en-US"/>
              </w:rPr>
            </w:pPr>
            <w:r>
              <w:rPr>
                <w:b/>
                <w:color w:val="000000"/>
                <w:sz w:val="28"/>
                <w:lang w:eastAsia="en-US"/>
              </w:rPr>
              <w:t>PAF</w:t>
            </w:r>
          </w:p>
        </w:tc>
      </w:tr>
      <w:tr>
        <w:trPr>
          <w:trHeight w:val="302" w:hRule="atLeast"/>
        </w:trPr>
        <w:tc>
          <w:tcPr>
            <w:tcW w:w="1987" w:type="dxa"/>
            <w:tcBorders>
              <w:top w:val="single" w:sz="4" w:space="0" w:color="000000"/>
              <w:start w:val="single" w:sz="4" w:space="0" w:color="000000"/>
              <w:bottom w:val="single" w:sz="4" w:space="0" w:color="000000"/>
            </w:tcBorders>
          </w:tcPr>
          <w:p>
            <w:pPr>
              <w:pStyle w:val="Normal"/>
              <w:jc w:val="center"/>
              <w:rPr>
                <w:color w:val="000000"/>
                <w:lang w:eastAsia="en-US"/>
              </w:rPr>
            </w:pPr>
            <w:r>
              <w:rPr>
                <w:color w:val="000000"/>
                <w:lang w:eastAsia="en-US"/>
              </w:rPr>
              <w:t>1.00</w:t>
            </w:r>
          </w:p>
        </w:tc>
        <w:tc>
          <w:tcPr>
            <w:tcW w:w="1988" w:type="dxa"/>
            <w:tcBorders>
              <w:top w:val="single" w:sz="18" w:space="0" w:color="000000"/>
              <w:start w:val="single" w:sz="18" w:space="0" w:color="000000"/>
              <w:bottom w:val="single" w:sz="18" w:space="0" w:color="000000"/>
              <w:end w:val="single" w:sz="18" w:space="0" w:color="000000"/>
            </w:tcBorders>
          </w:tcPr>
          <w:p>
            <w:pPr>
              <w:pStyle w:val="Normal"/>
              <w:jc w:val="center"/>
              <w:rPr>
                <w:b/>
                <w:color w:val="000000"/>
                <w:lang w:eastAsia="en-US"/>
              </w:rPr>
            </w:pPr>
            <w:r>
              <w:rPr>
                <w:b/>
                <w:color w:val="000000"/>
                <w:lang w:eastAsia="en-US"/>
              </w:rPr>
              <w:t>0.05</w:t>
            </w:r>
          </w:p>
        </w:tc>
        <w:tc>
          <w:tcPr>
            <w:tcW w:w="1987" w:type="dxa"/>
            <w:tcBorders>
              <w:top w:val="single" w:sz="4" w:space="0" w:color="000000"/>
              <w:bottom w:val="single" w:sz="4" w:space="0" w:color="000000"/>
            </w:tcBorders>
          </w:tcPr>
          <w:p>
            <w:pPr>
              <w:pStyle w:val="Normal"/>
              <w:jc w:val="center"/>
              <w:rPr>
                <w:color w:val="000000"/>
                <w:lang w:eastAsia="en-US"/>
              </w:rPr>
            </w:pPr>
            <w:r>
              <w:rPr>
                <w:color w:val="000000"/>
                <w:lang w:eastAsia="en-US"/>
              </w:rPr>
              <w:t>0.74</w:t>
            </w:r>
          </w:p>
        </w:tc>
        <w:tc>
          <w:tcPr>
            <w:tcW w:w="1988" w:type="dxa"/>
            <w:tcBorders>
              <w:top w:val="single" w:sz="18" w:space="0" w:color="000000"/>
              <w:start w:val="single" w:sz="18" w:space="0" w:color="000000"/>
              <w:bottom w:val="single" w:sz="18" w:space="0" w:color="000000"/>
              <w:end w:val="single" w:sz="18" w:space="0" w:color="000000"/>
            </w:tcBorders>
          </w:tcPr>
          <w:p>
            <w:pPr>
              <w:pStyle w:val="Normal"/>
              <w:jc w:val="center"/>
              <w:rPr>
                <w:b/>
                <w:color w:val="000000"/>
                <w:lang w:eastAsia="en-US"/>
              </w:rPr>
            </w:pPr>
            <w:r>
              <w:rPr>
                <w:b/>
                <w:color w:val="000000"/>
                <w:lang w:eastAsia="en-US"/>
              </w:rPr>
              <w:t>-0.38</w:t>
            </w:r>
          </w:p>
        </w:tc>
      </w:tr>
      <w:tr>
        <w:trPr>
          <w:trHeight w:val="302" w:hRule="atLeast"/>
        </w:trPr>
        <w:tc>
          <w:tcPr>
            <w:tcW w:w="1987" w:type="dxa"/>
            <w:tcBorders>
              <w:top w:val="single" w:sz="4" w:space="0" w:color="000000"/>
              <w:start w:val="single" w:sz="4" w:space="0" w:color="000000"/>
              <w:bottom w:val="single" w:sz="4" w:space="0" w:color="000000"/>
            </w:tcBorders>
          </w:tcPr>
          <w:p>
            <w:pPr>
              <w:pStyle w:val="Normal"/>
              <w:jc w:val="center"/>
              <w:rPr>
                <w:color w:val="000000"/>
                <w:lang w:eastAsia="en-US"/>
              </w:rPr>
            </w:pPr>
            <w:r>
              <w:rPr>
                <w:color w:val="000000"/>
                <w:lang w:eastAsia="en-US"/>
              </w:rPr>
              <w:t>0.99</w:t>
            </w:r>
          </w:p>
        </w:tc>
        <w:tc>
          <w:tcPr>
            <w:tcW w:w="1988" w:type="dxa"/>
            <w:tcBorders>
              <w:top w:val="single" w:sz="18" w:space="0" w:color="000000"/>
              <w:start w:val="single" w:sz="18" w:space="0" w:color="000000"/>
              <w:bottom w:val="single" w:sz="18" w:space="0" w:color="000000"/>
              <w:end w:val="single" w:sz="18" w:space="0" w:color="000000"/>
            </w:tcBorders>
          </w:tcPr>
          <w:p>
            <w:pPr>
              <w:pStyle w:val="Normal"/>
              <w:jc w:val="center"/>
              <w:rPr>
                <w:b/>
                <w:color w:val="000000"/>
                <w:lang w:eastAsia="en-US"/>
              </w:rPr>
            </w:pPr>
            <w:r>
              <w:rPr>
                <w:b/>
                <w:color w:val="000000"/>
                <w:lang w:eastAsia="en-US"/>
              </w:rPr>
              <w:t>0.04</w:t>
            </w:r>
          </w:p>
        </w:tc>
        <w:tc>
          <w:tcPr>
            <w:tcW w:w="1987" w:type="dxa"/>
            <w:tcBorders>
              <w:top w:val="single" w:sz="4" w:space="0" w:color="000000"/>
              <w:bottom w:val="single" w:sz="4" w:space="0" w:color="000000"/>
            </w:tcBorders>
          </w:tcPr>
          <w:p>
            <w:pPr>
              <w:pStyle w:val="Normal"/>
              <w:jc w:val="center"/>
              <w:rPr>
                <w:color w:val="000000"/>
                <w:lang w:eastAsia="en-US"/>
              </w:rPr>
            </w:pPr>
            <w:r>
              <w:rPr>
                <w:color w:val="000000"/>
                <w:lang w:eastAsia="en-US"/>
              </w:rPr>
              <w:t>0.73</w:t>
            </w:r>
          </w:p>
        </w:tc>
        <w:tc>
          <w:tcPr>
            <w:tcW w:w="1988" w:type="dxa"/>
            <w:tcBorders>
              <w:top w:val="single" w:sz="18" w:space="0" w:color="000000"/>
              <w:start w:val="single" w:sz="18" w:space="0" w:color="000000"/>
              <w:bottom w:val="single" w:sz="18" w:space="0" w:color="000000"/>
              <w:end w:val="single" w:sz="18" w:space="0" w:color="000000"/>
            </w:tcBorders>
          </w:tcPr>
          <w:p>
            <w:pPr>
              <w:pStyle w:val="Normal"/>
              <w:jc w:val="center"/>
              <w:rPr>
                <w:b/>
                <w:color w:val="000000"/>
                <w:lang w:eastAsia="en-US"/>
              </w:rPr>
            </w:pPr>
            <w:r>
              <w:rPr>
                <w:b/>
                <w:color w:val="000000"/>
                <w:lang w:eastAsia="en-US"/>
              </w:rPr>
              <w:t>-0.41</w:t>
            </w:r>
          </w:p>
        </w:tc>
      </w:tr>
      <w:tr>
        <w:trPr>
          <w:trHeight w:val="302" w:hRule="atLeast"/>
        </w:trPr>
        <w:tc>
          <w:tcPr>
            <w:tcW w:w="1987" w:type="dxa"/>
            <w:tcBorders>
              <w:top w:val="single" w:sz="4" w:space="0" w:color="000000"/>
              <w:start w:val="single" w:sz="4" w:space="0" w:color="000000"/>
              <w:bottom w:val="single" w:sz="4" w:space="0" w:color="000000"/>
            </w:tcBorders>
          </w:tcPr>
          <w:p>
            <w:pPr>
              <w:pStyle w:val="Normal"/>
              <w:jc w:val="center"/>
              <w:rPr>
                <w:color w:val="000000"/>
                <w:lang w:eastAsia="en-US"/>
              </w:rPr>
            </w:pPr>
            <w:r>
              <w:rPr>
                <w:color w:val="000000"/>
                <w:lang w:eastAsia="en-US"/>
              </w:rPr>
              <w:t>0.98</w:t>
            </w:r>
          </w:p>
        </w:tc>
        <w:tc>
          <w:tcPr>
            <w:tcW w:w="1988" w:type="dxa"/>
            <w:tcBorders>
              <w:top w:val="single" w:sz="18" w:space="0" w:color="000000"/>
              <w:start w:val="single" w:sz="18" w:space="0" w:color="000000"/>
              <w:bottom w:val="single" w:sz="18" w:space="0" w:color="000000"/>
              <w:end w:val="single" w:sz="18" w:space="0" w:color="000000"/>
            </w:tcBorders>
          </w:tcPr>
          <w:p>
            <w:pPr>
              <w:pStyle w:val="Normal"/>
              <w:jc w:val="center"/>
              <w:rPr>
                <w:b/>
                <w:color w:val="000000"/>
                <w:lang w:eastAsia="en-US"/>
              </w:rPr>
            </w:pPr>
            <w:r>
              <w:rPr>
                <w:b/>
                <w:color w:val="000000"/>
                <w:lang w:eastAsia="en-US"/>
              </w:rPr>
              <w:t>0.03</w:t>
            </w:r>
          </w:p>
        </w:tc>
        <w:tc>
          <w:tcPr>
            <w:tcW w:w="1987" w:type="dxa"/>
            <w:tcBorders>
              <w:top w:val="single" w:sz="4" w:space="0" w:color="000000"/>
              <w:bottom w:val="single" w:sz="4" w:space="0" w:color="000000"/>
            </w:tcBorders>
          </w:tcPr>
          <w:p>
            <w:pPr>
              <w:pStyle w:val="Normal"/>
              <w:jc w:val="center"/>
              <w:rPr>
                <w:color w:val="000000"/>
                <w:lang w:eastAsia="en-US"/>
              </w:rPr>
            </w:pPr>
            <w:r>
              <w:rPr>
                <w:color w:val="000000"/>
                <w:lang w:eastAsia="en-US"/>
              </w:rPr>
              <w:t>0.72</w:t>
            </w:r>
          </w:p>
        </w:tc>
        <w:tc>
          <w:tcPr>
            <w:tcW w:w="1988" w:type="dxa"/>
            <w:tcBorders>
              <w:top w:val="single" w:sz="18" w:space="0" w:color="000000"/>
              <w:start w:val="single" w:sz="18" w:space="0" w:color="000000"/>
              <w:bottom w:val="single" w:sz="18" w:space="0" w:color="000000"/>
              <w:end w:val="single" w:sz="18" w:space="0" w:color="000000"/>
            </w:tcBorders>
          </w:tcPr>
          <w:p>
            <w:pPr>
              <w:pStyle w:val="Normal"/>
              <w:jc w:val="center"/>
              <w:rPr>
                <w:b/>
                <w:color w:val="000000"/>
                <w:lang w:eastAsia="en-US"/>
              </w:rPr>
            </w:pPr>
            <w:r>
              <w:rPr>
                <w:b/>
                <w:color w:val="000000"/>
                <w:lang w:eastAsia="en-US"/>
              </w:rPr>
              <w:t>-0.44</w:t>
            </w:r>
          </w:p>
        </w:tc>
      </w:tr>
      <w:tr>
        <w:trPr>
          <w:trHeight w:val="302" w:hRule="atLeast"/>
        </w:trPr>
        <w:tc>
          <w:tcPr>
            <w:tcW w:w="1987" w:type="dxa"/>
            <w:tcBorders>
              <w:top w:val="single" w:sz="4" w:space="0" w:color="000000"/>
              <w:start w:val="single" w:sz="4" w:space="0" w:color="000000"/>
              <w:bottom w:val="single" w:sz="4" w:space="0" w:color="000000"/>
            </w:tcBorders>
          </w:tcPr>
          <w:p>
            <w:pPr>
              <w:pStyle w:val="Normal"/>
              <w:jc w:val="center"/>
              <w:rPr>
                <w:color w:val="000000"/>
                <w:lang w:eastAsia="en-US"/>
              </w:rPr>
            </w:pPr>
            <w:r>
              <w:rPr>
                <w:color w:val="000000"/>
                <w:lang w:eastAsia="en-US"/>
              </w:rPr>
              <w:t>0.97</w:t>
            </w:r>
          </w:p>
        </w:tc>
        <w:tc>
          <w:tcPr>
            <w:tcW w:w="1988" w:type="dxa"/>
            <w:tcBorders>
              <w:top w:val="single" w:sz="18" w:space="0" w:color="000000"/>
              <w:start w:val="single" w:sz="18" w:space="0" w:color="000000"/>
              <w:bottom w:val="single" w:sz="18" w:space="0" w:color="000000"/>
              <w:end w:val="single" w:sz="18" w:space="0" w:color="000000"/>
            </w:tcBorders>
          </w:tcPr>
          <w:p>
            <w:pPr>
              <w:pStyle w:val="Normal"/>
              <w:jc w:val="center"/>
              <w:rPr>
                <w:b/>
                <w:color w:val="000000"/>
                <w:lang w:eastAsia="en-US"/>
              </w:rPr>
            </w:pPr>
            <w:r>
              <w:rPr>
                <w:b/>
                <w:color w:val="000000"/>
                <w:lang w:eastAsia="en-US"/>
              </w:rPr>
              <w:t>0.02</w:t>
            </w:r>
          </w:p>
        </w:tc>
        <w:tc>
          <w:tcPr>
            <w:tcW w:w="1987" w:type="dxa"/>
            <w:tcBorders>
              <w:top w:val="single" w:sz="4" w:space="0" w:color="000000"/>
              <w:bottom w:val="single" w:sz="4" w:space="0" w:color="000000"/>
            </w:tcBorders>
          </w:tcPr>
          <w:p>
            <w:pPr>
              <w:pStyle w:val="Normal"/>
              <w:jc w:val="center"/>
              <w:rPr>
                <w:color w:val="000000"/>
                <w:lang w:eastAsia="en-US"/>
              </w:rPr>
            </w:pPr>
            <w:r>
              <w:rPr>
                <w:color w:val="000000"/>
                <w:lang w:eastAsia="en-US"/>
              </w:rPr>
              <w:t>0.71</w:t>
            </w:r>
          </w:p>
        </w:tc>
        <w:tc>
          <w:tcPr>
            <w:tcW w:w="1988" w:type="dxa"/>
            <w:tcBorders>
              <w:top w:val="single" w:sz="18" w:space="0" w:color="000000"/>
              <w:start w:val="single" w:sz="18" w:space="0" w:color="000000"/>
              <w:bottom w:val="single" w:sz="18" w:space="0" w:color="000000"/>
              <w:end w:val="single" w:sz="18" w:space="0" w:color="000000"/>
            </w:tcBorders>
          </w:tcPr>
          <w:p>
            <w:pPr>
              <w:pStyle w:val="Normal"/>
              <w:jc w:val="center"/>
              <w:rPr>
                <w:b/>
                <w:color w:val="000000"/>
                <w:lang w:eastAsia="en-US"/>
              </w:rPr>
            </w:pPr>
            <w:r>
              <w:rPr>
                <w:b/>
                <w:color w:val="000000"/>
                <w:lang w:eastAsia="en-US"/>
              </w:rPr>
              <w:t>-0.47</w:t>
            </w:r>
          </w:p>
        </w:tc>
      </w:tr>
      <w:tr>
        <w:trPr>
          <w:trHeight w:val="302" w:hRule="atLeast"/>
        </w:trPr>
        <w:tc>
          <w:tcPr>
            <w:tcW w:w="1987" w:type="dxa"/>
            <w:tcBorders>
              <w:top w:val="single" w:sz="4" w:space="0" w:color="000000"/>
              <w:start w:val="single" w:sz="4" w:space="0" w:color="000000"/>
              <w:bottom w:val="single" w:sz="4" w:space="0" w:color="000000"/>
            </w:tcBorders>
          </w:tcPr>
          <w:p>
            <w:pPr>
              <w:pStyle w:val="Normal"/>
              <w:jc w:val="center"/>
              <w:rPr>
                <w:color w:val="000000"/>
                <w:lang w:eastAsia="en-US"/>
              </w:rPr>
            </w:pPr>
            <w:r>
              <w:rPr>
                <w:color w:val="000000"/>
                <w:lang w:eastAsia="en-US"/>
              </w:rPr>
              <w:t>0.96</w:t>
            </w:r>
          </w:p>
        </w:tc>
        <w:tc>
          <w:tcPr>
            <w:tcW w:w="1988" w:type="dxa"/>
            <w:tcBorders>
              <w:top w:val="single" w:sz="18" w:space="0" w:color="000000"/>
              <w:start w:val="single" w:sz="18" w:space="0" w:color="000000"/>
              <w:bottom w:val="single" w:sz="18" w:space="0" w:color="000000"/>
              <w:end w:val="single" w:sz="18" w:space="0" w:color="000000"/>
            </w:tcBorders>
          </w:tcPr>
          <w:p>
            <w:pPr>
              <w:pStyle w:val="Normal"/>
              <w:jc w:val="center"/>
              <w:rPr>
                <w:b/>
                <w:color w:val="000000"/>
                <w:lang w:eastAsia="en-US"/>
              </w:rPr>
            </w:pPr>
            <w:r>
              <w:rPr>
                <w:b/>
                <w:color w:val="000000"/>
                <w:lang w:eastAsia="en-US"/>
              </w:rPr>
              <w:t>0.01</w:t>
            </w:r>
          </w:p>
        </w:tc>
        <w:tc>
          <w:tcPr>
            <w:tcW w:w="1987" w:type="dxa"/>
            <w:tcBorders>
              <w:top w:val="single" w:sz="4" w:space="0" w:color="000000"/>
              <w:bottom w:val="single" w:sz="4" w:space="0" w:color="000000"/>
            </w:tcBorders>
          </w:tcPr>
          <w:p>
            <w:pPr>
              <w:pStyle w:val="Normal"/>
              <w:jc w:val="center"/>
              <w:rPr>
                <w:color w:val="000000"/>
                <w:lang w:eastAsia="en-US"/>
              </w:rPr>
            </w:pPr>
            <w:r>
              <w:rPr>
                <w:color w:val="000000"/>
                <w:lang w:eastAsia="en-US"/>
              </w:rPr>
              <w:t>0.70</w:t>
            </w:r>
          </w:p>
        </w:tc>
        <w:tc>
          <w:tcPr>
            <w:tcW w:w="1988" w:type="dxa"/>
            <w:tcBorders>
              <w:top w:val="single" w:sz="18" w:space="0" w:color="000000"/>
              <w:start w:val="single" w:sz="18" w:space="0" w:color="000000"/>
              <w:bottom w:val="single" w:sz="18" w:space="0" w:color="000000"/>
              <w:end w:val="single" w:sz="18" w:space="0" w:color="000000"/>
            </w:tcBorders>
          </w:tcPr>
          <w:p>
            <w:pPr>
              <w:pStyle w:val="Normal"/>
              <w:jc w:val="center"/>
              <w:rPr>
                <w:b/>
                <w:color w:val="000000"/>
                <w:lang w:eastAsia="en-US"/>
              </w:rPr>
            </w:pPr>
            <w:r>
              <w:rPr>
                <w:b/>
                <w:color w:val="000000"/>
                <w:lang w:eastAsia="en-US"/>
              </w:rPr>
              <w:t>-0.50</w:t>
            </w:r>
          </w:p>
        </w:tc>
      </w:tr>
      <w:tr>
        <w:trPr>
          <w:trHeight w:val="302" w:hRule="atLeast"/>
        </w:trPr>
        <w:tc>
          <w:tcPr>
            <w:tcW w:w="1987" w:type="dxa"/>
            <w:tcBorders>
              <w:top w:val="single" w:sz="4" w:space="0" w:color="000000"/>
              <w:start w:val="single" w:sz="4" w:space="0" w:color="000000"/>
              <w:bottom w:val="single" w:sz="4" w:space="0" w:color="000000"/>
            </w:tcBorders>
          </w:tcPr>
          <w:p>
            <w:pPr>
              <w:pStyle w:val="Normal"/>
              <w:jc w:val="center"/>
              <w:rPr>
                <w:color w:val="000000"/>
                <w:lang w:eastAsia="en-US"/>
              </w:rPr>
            </w:pPr>
            <w:r>
              <w:rPr>
                <w:color w:val="000000"/>
                <w:lang w:eastAsia="en-US"/>
              </w:rPr>
              <w:t>0.95</w:t>
            </w:r>
          </w:p>
        </w:tc>
        <w:tc>
          <w:tcPr>
            <w:tcW w:w="1988" w:type="dxa"/>
            <w:tcBorders>
              <w:top w:val="single" w:sz="18" w:space="0" w:color="000000"/>
              <w:start w:val="single" w:sz="18" w:space="0" w:color="000000"/>
              <w:bottom w:val="single" w:sz="18" w:space="0" w:color="000000"/>
              <w:end w:val="single" w:sz="18" w:space="0" w:color="000000"/>
            </w:tcBorders>
          </w:tcPr>
          <w:p>
            <w:pPr>
              <w:pStyle w:val="Normal"/>
              <w:jc w:val="center"/>
              <w:rPr>
                <w:b/>
                <w:color w:val="000000"/>
                <w:lang w:eastAsia="en-US"/>
              </w:rPr>
            </w:pPr>
            <w:r>
              <w:rPr>
                <w:b/>
                <w:color w:val="000000"/>
                <w:lang w:eastAsia="en-US"/>
              </w:rPr>
              <w:t>0.00</w:t>
            </w:r>
          </w:p>
        </w:tc>
        <w:tc>
          <w:tcPr>
            <w:tcW w:w="1987" w:type="dxa"/>
            <w:tcBorders>
              <w:top w:val="single" w:sz="4" w:space="0" w:color="000000"/>
              <w:bottom w:val="single" w:sz="4" w:space="0" w:color="000000"/>
            </w:tcBorders>
          </w:tcPr>
          <w:p>
            <w:pPr>
              <w:pStyle w:val="Normal"/>
              <w:jc w:val="center"/>
              <w:rPr>
                <w:color w:val="000000"/>
                <w:lang w:eastAsia="en-US"/>
              </w:rPr>
            </w:pPr>
            <w:r>
              <w:rPr>
                <w:color w:val="000000"/>
                <w:lang w:eastAsia="en-US"/>
              </w:rPr>
              <w:t>0.69</w:t>
            </w:r>
          </w:p>
        </w:tc>
        <w:tc>
          <w:tcPr>
            <w:tcW w:w="1988" w:type="dxa"/>
            <w:tcBorders>
              <w:top w:val="single" w:sz="18" w:space="0" w:color="000000"/>
              <w:start w:val="single" w:sz="18" w:space="0" w:color="000000"/>
              <w:bottom w:val="single" w:sz="18" w:space="0" w:color="000000"/>
              <w:end w:val="single" w:sz="18" w:space="0" w:color="000000"/>
            </w:tcBorders>
          </w:tcPr>
          <w:p>
            <w:pPr>
              <w:pStyle w:val="Normal"/>
              <w:jc w:val="center"/>
              <w:rPr>
                <w:b/>
                <w:color w:val="000000"/>
                <w:lang w:eastAsia="en-US"/>
              </w:rPr>
            </w:pPr>
            <w:r>
              <w:rPr>
                <w:b/>
                <w:color w:val="000000"/>
                <w:lang w:eastAsia="en-US"/>
              </w:rPr>
              <w:t>-0.53</w:t>
            </w:r>
          </w:p>
        </w:tc>
      </w:tr>
      <w:tr>
        <w:trPr>
          <w:trHeight w:val="302" w:hRule="atLeast"/>
        </w:trPr>
        <w:tc>
          <w:tcPr>
            <w:tcW w:w="1987" w:type="dxa"/>
            <w:tcBorders>
              <w:top w:val="single" w:sz="4" w:space="0" w:color="000000"/>
              <w:start w:val="single" w:sz="4" w:space="0" w:color="000000"/>
              <w:bottom w:val="single" w:sz="4" w:space="0" w:color="000000"/>
            </w:tcBorders>
          </w:tcPr>
          <w:p>
            <w:pPr>
              <w:pStyle w:val="Normal"/>
              <w:jc w:val="center"/>
              <w:rPr>
                <w:color w:val="000000"/>
                <w:lang w:eastAsia="en-US"/>
              </w:rPr>
            </w:pPr>
            <w:r>
              <w:rPr>
                <w:color w:val="000000"/>
                <w:lang w:eastAsia="en-US"/>
              </w:rPr>
              <w:t>0.94</w:t>
            </w:r>
          </w:p>
        </w:tc>
        <w:tc>
          <w:tcPr>
            <w:tcW w:w="1988" w:type="dxa"/>
            <w:tcBorders>
              <w:top w:val="single" w:sz="18" w:space="0" w:color="000000"/>
              <w:start w:val="single" w:sz="18" w:space="0" w:color="000000"/>
              <w:bottom w:val="single" w:sz="18" w:space="0" w:color="000000"/>
              <w:end w:val="single" w:sz="18" w:space="0" w:color="000000"/>
            </w:tcBorders>
          </w:tcPr>
          <w:p>
            <w:pPr>
              <w:pStyle w:val="Normal"/>
              <w:jc w:val="center"/>
              <w:rPr>
                <w:b/>
                <w:color w:val="000000"/>
                <w:lang w:eastAsia="en-US"/>
              </w:rPr>
            </w:pPr>
            <w:r>
              <w:rPr>
                <w:b/>
                <w:color w:val="000000"/>
                <w:lang w:eastAsia="en-US"/>
              </w:rPr>
              <w:t>-0.01</w:t>
            </w:r>
          </w:p>
        </w:tc>
        <w:tc>
          <w:tcPr>
            <w:tcW w:w="1987" w:type="dxa"/>
            <w:tcBorders>
              <w:top w:val="single" w:sz="4" w:space="0" w:color="000000"/>
              <w:bottom w:val="single" w:sz="4" w:space="0" w:color="000000"/>
            </w:tcBorders>
          </w:tcPr>
          <w:p>
            <w:pPr>
              <w:pStyle w:val="Normal"/>
              <w:jc w:val="center"/>
              <w:rPr>
                <w:color w:val="000000"/>
                <w:lang w:eastAsia="en-US"/>
              </w:rPr>
            </w:pPr>
            <w:r>
              <w:rPr>
                <w:color w:val="000000"/>
                <w:lang w:eastAsia="en-US"/>
              </w:rPr>
              <w:t>0.68</w:t>
            </w:r>
          </w:p>
        </w:tc>
        <w:tc>
          <w:tcPr>
            <w:tcW w:w="1988" w:type="dxa"/>
            <w:tcBorders>
              <w:top w:val="single" w:sz="18" w:space="0" w:color="000000"/>
              <w:start w:val="single" w:sz="18" w:space="0" w:color="000000"/>
              <w:bottom w:val="single" w:sz="18" w:space="0" w:color="000000"/>
              <w:end w:val="single" w:sz="18" w:space="0" w:color="000000"/>
            </w:tcBorders>
          </w:tcPr>
          <w:p>
            <w:pPr>
              <w:pStyle w:val="Normal"/>
              <w:jc w:val="center"/>
              <w:rPr>
                <w:b/>
                <w:color w:val="000000"/>
                <w:lang w:eastAsia="en-US"/>
              </w:rPr>
            </w:pPr>
            <w:r>
              <w:rPr>
                <w:b/>
                <w:color w:val="000000"/>
                <w:lang w:eastAsia="en-US"/>
              </w:rPr>
              <w:t>-0.56</w:t>
            </w:r>
          </w:p>
        </w:tc>
      </w:tr>
      <w:tr>
        <w:trPr>
          <w:trHeight w:val="302" w:hRule="atLeast"/>
        </w:trPr>
        <w:tc>
          <w:tcPr>
            <w:tcW w:w="1987" w:type="dxa"/>
            <w:tcBorders>
              <w:top w:val="single" w:sz="4" w:space="0" w:color="000000"/>
              <w:start w:val="single" w:sz="4" w:space="0" w:color="000000"/>
              <w:bottom w:val="single" w:sz="4" w:space="0" w:color="000000"/>
            </w:tcBorders>
          </w:tcPr>
          <w:p>
            <w:pPr>
              <w:pStyle w:val="Normal"/>
              <w:jc w:val="center"/>
              <w:rPr>
                <w:color w:val="000000"/>
                <w:lang w:eastAsia="en-US"/>
              </w:rPr>
            </w:pPr>
            <w:r>
              <w:rPr>
                <w:color w:val="000000"/>
                <w:lang w:eastAsia="en-US"/>
              </w:rPr>
              <w:t>0.93</w:t>
            </w:r>
          </w:p>
        </w:tc>
        <w:tc>
          <w:tcPr>
            <w:tcW w:w="1988" w:type="dxa"/>
            <w:tcBorders>
              <w:top w:val="single" w:sz="18" w:space="0" w:color="000000"/>
              <w:start w:val="single" w:sz="18" w:space="0" w:color="000000"/>
              <w:bottom w:val="single" w:sz="18" w:space="0" w:color="000000"/>
              <w:end w:val="single" w:sz="18" w:space="0" w:color="000000"/>
            </w:tcBorders>
          </w:tcPr>
          <w:p>
            <w:pPr>
              <w:pStyle w:val="Normal"/>
              <w:jc w:val="center"/>
              <w:rPr>
                <w:b/>
                <w:color w:val="000000"/>
                <w:lang w:eastAsia="en-US"/>
              </w:rPr>
            </w:pPr>
            <w:r>
              <w:rPr>
                <w:b/>
                <w:color w:val="000000"/>
                <w:lang w:eastAsia="en-US"/>
              </w:rPr>
              <w:t>-0.02</w:t>
            </w:r>
          </w:p>
        </w:tc>
        <w:tc>
          <w:tcPr>
            <w:tcW w:w="1987" w:type="dxa"/>
            <w:tcBorders>
              <w:top w:val="single" w:sz="4" w:space="0" w:color="000000"/>
              <w:bottom w:val="single" w:sz="4" w:space="0" w:color="000000"/>
            </w:tcBorders>
          </w:tcPr>
          <w:p>
            <w:pPr>
              <w:pStyle w:val="Normal"/>
              <w:jc w:val="center"/>
              <w:rPr>
                <w:color w:val="000000"/>
                <w:lang w:eastAsia="en-US"/>
              </w:rPr>
            </w:pPr>
            <w:r>
              <w:rPr>
                <w:color w:val="000000"/>
                <w:lang w:eastAsia="en-US"/>
              </w:rPr>
              <w:t>0.67</w:t>
            </w:r>
          </w:p>
        </w:tc>
        <w:tc>
          <w:tcPr>
            <w:tcW w:w="1988" w:type="dxa"/>
            <w:tcBorders>
              <w:top w:val="single" w:sz="18" w:space="0" w:color="000000"/>
              <w:start w:val="single" w:sz="18" w:space="0" w:color="000000"/>
              <w:bottom w:val="single" w:sz="18" w:space="0" w:color="000000"/>
              <w:end w:val="single" w:sz="18" w:space="0" w:color="000000"/>
            </w:tcBorders>
          </w:tcPr>
          <w:p>
            <w:pPr>
              <w:pStyle w:val="Normal"/>
              <w:jc w:val="center"/>
              <w:rPr>
                <w:b/>
                <w:color w:val="000000"/>
                <w:lang w:eastAsia="en-US"/>
              </w:rPr>
            </w:pPr>
            <w:r>
              <w:rPr>
                <w:b/>
                <w:color w:val="000000"/>
                <w:lang w:eastAsia="en-US"/>
              </w:rPr>
              <w:t>-0.59</w:t>
            </w:r>
          </w:p>
        </w:tc>
      </w:tr>
      <w:tr>
        <w:trPr>
          <w:trHeight w:val="302" w:hRule="atLeast"/>
        </w:trPr>
        <w:tc>
          <w:tcPr>
            <w:tcW w:w="1987" w:type="dxa"/>
            <w:tcBorders>
              <w:top w:val="single" w:sz="4" w:space="0" w:color="000000"/>
              <w:start w:val="single" w:sz="4" w:space="0" w:color="000000"/>
              <w:bottom w:val="single" w:sz="4" w:space="0" w:color="000000"/>
            </w:tcBorders>
          </w:tcPr>
          <w:p>
            <w:pPr>
              <w:pStyle w:val="Normal"/>
              <w:jc w:val="center"/>
              <w:rPr>
                <w:color w:val="000000"/>
                <w:lang w:eastAsia="en-US"/>
              </w:rPr>
            </w:pPr>
            <w:r>
              <w:rPr>
                <w:color w:val="000000"/>
                <w:lang w:eastAsia="en-US"/>
              </w:rPr>
              <w:t>0.92</w:t>
            </w:r>
          </w:p>
        </w:tc>
        <w:tc>
          <w:tcPr>
            <w:tcW w:w="1988" w:type="dxa"/>
            <w:tcBorders>
              <w:top w:val="single" w:sz="18" w:space="0" w:color="000000"/>
              <w:start w:val="single" w:sz="18" w:space="0" w:color="000000"/>
              <w:bottom w:val="single" w:sz="18" w:space="0" w:color="000000"/>
              <w:end w:val="single" w:sz="18" w:space="0" w:color="000000"/>
            </w:tcBorders>
          </w:tcPr>
          <w:p>
            <w:pPr>
              <w:pStyle w:val="Normal"/>
              <w:jc w:val="center"/>
              <w:rPr>
                <w:b/>
                <w:color w:val="000000"/>
                <w:lang w:eastAsia="en-US"/>
              </w:rPr>
            </w:pPr>
            <w:r>
              <w:rPr>
                <w:b/>
                <w:color w:val="000000"/>
                <w:lang w:eastAsia="en-US"/>
              </w:rPr>
              <w:t>-0.03</w:t>
            </w:r>
          </w:p>
        </w:tc>
        <w:tc>
          <w:tcPr>
            <w:tcW w:w="1987" w:type="dxa"/>
            <w:tcBorders>
              <w:top w:val="single" w:sz="4" w:space="0" w:color="000000"/>
              <w:bottom w:val="single" w:sz="4" w:space="0" w:color="000000"/>
            </w:tcBorders>
          </w:tcPr>
          <w:p>
            <w:pPr>
              <w:pStyle w:val="Normal"/>
              <w:jc w:val="center"/>
              <w:rPr>
                <w:color w:val="000000"/>
                <w:lang w:eastAsia="en-US"/>
              </w:rPr>
            </w:pPr>
            <w:r>
              <w:rPr>
                <w:color w:val="000000"/>
                <w:lang w:eastAsia="en-US"/>
              </w:rPr>
              <w:t>0.66</w:t>
            </w:r>
          </w:p>
        </w:tc>
        <w:tc>
          <w:tcPr>
            <w:tcW w:w="1988" w:type="dxa"/>
            <w:tcBorders>
              <w:top w:val="single" w:sz="18" w:space="0" w:color="000000"/>
              <w:start w:val="single" w:sz="18" w:space="0" w:color="000000"/>
              <w:bottom w:val="single" w:sz="18" w:space="0" w:color="000000"/>
              <w:end w:val="single" w:sz="18" w:space="0" w:color="000000"/>
            </w:tcBorders>
          </w:tcPr>
          <w:p>
            <w:pPr>
              <w:pStyle w:val="Normal"/>
              <w:jc w:val="center"/>
              <w:rPr>
                <w:b/>
                <w:color w:val="000000"/>
                <w:lang w:eastAsia="en-US"/>
              </w:rPr>
            </w:pPr>
            <w:r>
              <w:rPr>
                <w:b/>
                <w:color w:val="000000"/>
                <w:lang w:eastAsia="en-US"/>
              </w:rPr>
              <w:t>-0.62</w:t>
            </w:r>
          </w:p>
        </w:tc>
      </w:tr>
      <w:tr>
        <w:trPr>
          <w:trHeight w:val="302" w:hRule="atLeast"/>
        </w:trPr>
        <w:tc>
          <w:tcPr>
            <w:tcW w:w="1987" w:type="dxa"/>
            <w:tcBorders>
              <w:top w:val="single" w:sz="4" w:space="0" w:color="000000"/>
              <w:start w:val="single" w:sz="4" w:space="0" w:color="000000"/>
              <w:bottom w:val="single" w:sz="4" w:space="0" w:color="000000"/>
            </w:tcBorders>
          </w:tcPr>
          <w:p>
            <w:pPr>
              <w:pStyle w:val="Normal"/>
              <w:jc w:val="center"/>
              <w:rPr>
                <w:color w:val="000000"/>
                <w:lang w:eastAsia="en-US"/>
              </w:rPr>
            </w:pPr>
            <w:r>
              <w:rPr>
                <w:color w:val="000000"/>
                <w:lang w:eastAsia="en-US"/>
              </w:rPr>
              <w:t>0.91</w:t>
            </w:r>
          </w:p>
        </w:tc>
        <w:tc>
          <w:tcPr>
            <w:tcW w:w="1988" w:type="dxa"/>
            <w:tcBorders>
              <w:top w:val="single" w:sz="18" w:space="0" w:color="000000"/>
              <w:start w:val="single" w:sz="18" w:space="0" w:color="000000"/>
              <w:bottom w:val="single" w:sz="18" w:space="0" w:color="000000"/>
              <w:end w:val="single" w:sz="18" w:space="0" w:color="000000"/>
            </w:tcBorders>
          </w:tcPr>
          <w:p>
            <w:pPr>
              <w:pStyle w:val="Normal"/>
              <w:jc w:val="center"/>
              <w:rPr>
                <w:b/>
                <w:color w:val="000000"/>
                <w:lang w:eastAsia="en-US"/>
              </w:rPr>
            </w:pPr>
            <w:r>
              <w:rPr>
                <w:b/>
                <w:color w:val="000000"/>
                <w:lang w:eastAsia="en-US"/>
              </w:rPr>
              <w:t>-0.04</w:t>
            </w:r>
          </w:p>
        </w:tc>
        <w:tc>
          <w:tcPr>
            <w:tcW w:w="1987" w:type="dxa"/>
            <w:tcBorders>
              <w:top w:val="single" w:sz="4" w:space="0" w:color="000000"/>
              <w:bottom w:val="single" w:sz="4" w:space="0" w:color="000000"/>
            </w:tcBorders>
          </w:tcPr>
          <w:p>
            <w:pPr>
              <w:pStyle w:val="Normal"/>
              <w:jc w:val="center"/>
              <w:rPr>
                <w:color w:val="000000"/>
                <w:lang w:eastAsia="en-US"/>
              </w:rPr>
            </w:pPr>
            <w:r>
              <w:rPr>
                <w:color w:val="000000"/>
                <w:lang w:eastAsia="en-US"/>
              </w:rPr>
              <w:t>0.65</w:t>
            </w:r>
          </w:p>
        </w:tc>
        <w:tc>
          <w:tcPr>
            <w:tcW w:w="1988" w:type="dxa"/>
            <w:tcBorders>
              <w:top w:val="single" w:sz="18" w:space="0" w:color="000000"/>
              <w:start w:val="single" w:sz="18" w:space="0" w:color="000000"/>
              <w:bottom w:val="single" w:sz="18" w:space="0" w:color="000000"/>
              <w:end w:val="single" w:sz="18" w:space="0" w:color="000000"/>
            </w:tcBorders>
          </w:tcPr>
          <w:p>
            <w:pPr>
              <w:pStyle w:val="Normal"/>
              <w:jc w:val="center"/>
              <w:rPr>
                <w:b/>
                <w:color w:val="000000"/>
                <w:lang w:eastAsia="en-US"/>
              </w:rPr>
            </w:pPr>
            <w:r>
              <w:rPr>
                <w:b/>
                <w:color w:val="000000"/>
                <w:lang w:eastAsia="en-US"/>
              </w:rPr>
              <w:t>-0.65</w:t>
            </w:r>
          </w:p>
        </w:tc>
      </w:tr>
      <w:tr>
        <w:trPr>
          <w:trHeight w:val="302" w:hRule="atLeast"/>
        </w:trPr>
        <w:tc>
          <w:tcPr>
            <w:tcW w:w="1987" w:type="dxa"/>
            <w:tcBorders>
              <w:top w:val="single" w:sz="4" w:space="0" w:color="000000"/>
              <w:start w:val="single" w:sz="4" w:space="0" w:color="000000"/>
              <w:bottom w:val="single" w:sz="4" w:space="0" w:color="000000"/>
            </w:tcBorders>
          </w:tcPr>
          <w:p>
            <w:pPr>
              <w:pStyle w:val="Normal"/>
              <w:jc w:val="center"/>
              <w:rPr>
                <w:color w:val="000000"/>
                <w:lang w:eastAsia="en-US"/>
              </w:rPr>
            </w:pPr>
            <w:r>
              <w:rPr>
                <w:color w:val="000000"/>
                <w:lang w:eastAsia="en-US"/>
              </w:rPr>
              <w:t>0.90</w:t>
            </w:r>
          </w:p>
        </w:tc>
        <w:tc>
          <w:tcPr>
            <w:tcW w:w="1988" w:type="dxa"/>
            <w:tcBorders>
              <w:top w:val="single" w:sz="18" w:space="0" w:color="000000"/>
              <w:start w:val="single" w:sz="18" w:space="0" w:color="000000"/>
              <w:bottom w:val="single" w:sz="18" w:space="0" w:color="000000"/>
              <w:end w:val="single" w:sz="18" w:space="0" w:color="000000"/>
            </w:tcBorders>
          </w:tcPr>
          <w:p>
            <w:pPr>
              <w:pStyle w:val="Normal"/>
              <w:jc w:val="center"/>
              <w:rPr>
                <w:b/>
                <w:color w:val="000000"/>
                <w:lang w:eastAsia="en-US"/>
              </w:rPr>
            </w:pPr>
            <w:r>
              <w:rPr>
                <w:b/>
                <w:color w:val="000000"/>
                <w:lang w:eastAsia="en-US"/>
              </w:rPr>
              <w:t>-0.05</w:t>
            </w:r>
          </w:p>
        </w:tc>
        <w:tc>
          <w:tcPr>
            <w:tcW w:w="1987" w:type="dxa"/>
            <w:tcBorders>
              <w:top w:val="single" w:sz="4" w:space="0" w:color="000000"/>
              <w:bottom w:val="single" w:sz="4" w:space="0" w:color="000000"/>
            </w:tcBorders>
          </w:tcPr>
          <w:p>
            <w:pPr>
              <w:pStyle w:val="Normal"/>
              <w:jc w:val="center"/>
              <w:rPr>
                <w:color w:val="000000"/>
                <w:lang w:eastAsia="en-US"/>
              </w:rPr>
            </w:pPr>
            <w:r>
              <w:rPr>
                <w:color w:val="000000"/>
                <w:lang w:eastAsia="en-US"/>
              </w:rPr>
              <w:t>0.64</w:t>
            </w:r>
          </w:p>
        </w:tc>
        <w:tc>
          <w:tcPr>
            <w:tcW w:w="1988" w:type="dxa"/>
            <w:tcBorders>
              <w:top w:val="single" w:sz="18" w:space="0" w:color="000000"/>
              <w:start w:val="single" w:sz="18" w:space="0" w:color="000000"/>
              <w:bottom w:val="single" w:sz="18" w:space="0" w:color="000000"/>
              <w:end w:val="single" w:sz="18" w:space="0" w:color="000000"/>
            </w:tcBorders>
          </w:tcPr>
          <w:p>
            <w:pPr>
              <w:pStyle w:val="Normal"/>
              <w:jc w:val="center"/>
              <w:rPr>
                <w:b/>
                <w:color w:val="000000"/>
                <w:lang w:eastAsia="en-US"/>
              </w:rPr>
            </w:pPr>
            <w:r>
              <w:rPr>
                <w:b/>
                <w:color w:val="000000"/>
                <w:lang w:eastAsia="en-US"/>
              </w:rPr>
              <w:t>-0.68</w:t>
            </w:r>
          </w:p>
        </w:tc>
      </w:tr>
      <w:tr>
        <w:trPr>
          <w:trHeight w:val="302" w:hRule="atLeast"/>
        </w:trPr>
        <w:tc>
          <w:tcPr>
            <w:tcW w:w="1987" w:type="dxa"/>
            <w:tcBorders>
              <w:top w:val="single" w:sz="4" w:space="0" w:color="000000"/>
              <w:start w:val="single" w:sz="4" w:space="0" w:color="000000"/>
              <w:bottom w:val="single" w:sz="4" w:space="0" w:color="000000"/>
            </w:tcBorders>
          </w:tcPr>
          <w:p>
            <w:pPr>
              <w:pStyle w:val="Normal"/>
              <w:jc w:val="center"/>
              <w:rPr>
                <w:color w:val="000000"/>
                <w:lang w:eastAsia="en-US"/>
              </w:rPr>
            </w:pPr>
            <w:r>
              <w:rPr>
                <w:color w:val="000000"/>
                <w:lang w:eastAsia="en-US"/>
              </w:rPr>
              <w:t>0.89</w:t>
            </w:r>
          </w:p>
        </w:tc>
        <w:tc>
          <w:tcPr>
            <w:tcW w:w="1988" w:type="dxa"/>
            <w:tcBorders>
              <w:top w:val="single" w:sz="18" w:space="0" w:color="000000"/>
              <w:start w:val="single" w:sz="18" w:space="0" w:color="000000"/>
              <w:bottom w:val="single" w:sz="18" w:space="0" w:color="000000"/>
              <w:end w:val="single" w:sz="18" w:space="0" w:color="000000"/>
            </w:tcBorders>
          </w:tcPr>
          <w:p>
            <w:pPr>
              <w:pStyle w:val="Normal"/>
              <w:jc w:val="center"/>
              <w:rPr>
                <w:b/>
                <w:color w:val="000000"/>
                <w:lang w:eastAsia="en-US"/>
              </w:rPr>
            </w:pPr>
            <w:r>
              <w:rPr>
                <w:b/>
                <w:color w:val="000000"/>
                <w:lang w:eastAsia="en-US"/>
              </w:rPr>
              <w:t>-0.07</w:t>
            </w:r>
          </w:p>
        </w:tc>
        <w:tc>
          <w:tcPr>
            <w:tcW w:w="1987" w:type="dxa"/>
            <w:tcBorders>
              <w:top w:val="single" w:sz="4" w:space="0" w:color="000000"/>
              <w:bottom w:val="single" w:sz="4" w:space="0" w:color="000000"/>
            </w:tcBorders>
          </w:tcPr>
          <w:p>
            <w:pPr>
              <w:pStyle w:val="Normal"/>
              <w:jc w:val="center"/>
              <w:rPr>
                <w:color w:val="000000"/>
                <w:lang w:eastAsia="en-US"/>
              </w:rPr>
            </w:pPr>
            <w:r>
              <w:rPr>
                <w:color w:val="000000"/>
                <w:lang w:eastAsia="en-US"/>
              </w:rPr>
              <w:t>0.63</w:t>
            </w:r>
          </w:p>
        </w:tc>
        <w:tc>
          <w:tcPr>
            <w:tcW w:w="1988" w:type="dxa"/>
            <w:tcBorders>
              <w:top w:val="single" w:sz="18" w:space="0" w:color="000000"/>
              <w:start w:val="single" w:sz="18" w:space="0" w:color="000000"/>
              <w:bottom w:val="single" w:sz="18" w:space="0" w:color="000000"/>
              <w:end w:val="single" w:sz="18" w:space="0" w:color="000000"/>
            </w:tcBorders>
          </w:tcPr>
          <w:p>
            <w:pPr>
              <w:pStyle w:val="Normal"/>
              <w:jc w:val="center"/>
              <w:rPr>
                <w:b/>
                <w:color w:val="000000"/>
                <w:lang w:eastAsia="en-US"/>
              </w:rPr>
            </w:pPr>
            <w:r>
              <w:rPr>
                <w:b/>
                <w:color w:val="000000"/>
                <w:lang w:eastAsia="en-US"/>
              </w:rPr>
              <w:t>-0.71</w:t>
            </w:r>
          </w:p>
        </w:tc>
      </w:tr>
      <w:tr>
        <w:trPr>
          <w:trHeight w:val="302" w:hRule="atLeast"/>
        </w:trPr>
        <w:tc>
          <w:tcPr>
            <w:tcW w:w="1987" w:type="dxa"/>
            <w:tcBorders>
              <w:top w:val="single" w:sz="4" w:space="0" w:color="000000"/>
              <w:start w:val="single" w:sz="4" w:space="0" w:color="000000"/>
              <w:bottom w:val="single" w:sz="4" w:space="0" w:color="000000"/>
            </w:tcBorders>
          </w:tcPr>
          <w:p>
            <w:pPr>
              <w:pStyle w:val="Normal"/>
              <w:jc w:val="center"/>
              <w:rPr>
                <w:color w:val="000000"/>
                <w:lang w:eastAsia="en-US"/>
              </w:rPr>
            </w:pPr>
            <w:r>
              <w:rPr>
                <w:color w:val="000000"/>
                <w:lang w:eastAsia="en-US"/>
              </w:rPr>
              <w:t>0.88</w:t>
            </w:r>
          </w:p>
        </w:tc>
        <w:tc>
          <w:tcPr>
            <w:tcW w:w="1988" w:type="dxa"/>
            <w:tcBorders>
              <w:top w:val="single" w:sz="18" w:space="0" w:color="000000"/>
              <w:start w:val="single" w:sz="18" w:space="0" w:color="000000"/>
              <w:bottom w:val="single" w:sz="18" w:space="0" w:color="000000"/>
              <w:end w:val="single" w:sz="18" w:space="0" w:color="000000"/>
            </w:tcBorders>
          </w:tcPr>
          <w:p>
            <w:pPr>
              <w:pStyle w:val="Normal"/>
              <w:jc w:val="center"/>
              <w:rPr>
                <w:b/>
                <w:color w:val="000000"/>
                <w:lang w:eastAsia="en-US"/>
              </w:rPr>
            </w:pPr>
            <w:r>
              <w:rPr>
                <w:b/>
                <w:color w:val="000000"/>
                <w:lang w:eastAsia="en-US"/>
              </w:rPr>
              <w:t>-0.09</w:t>
            </w:r>
          </w:p>
        </w:tc>
        <w:tc>
          <w:tcPr>
            <w:tcW w:w="1987" w:type="dxa"/>
            <w:tcBorders>
              <w:top w:val="single" w:sz="4" w:space="0" w:color="000000"/>
              <w:bottom w:val="single" w:sz="4" w:space="0" w:color="000000"/>
            </w:tcBorders>
          </w:tcPr>
          <w:p>
            <w:pPr>
              <w:pStyle w:val="Normal"/>
              <w:jc w:val="center"/>
              <w:rPr>
                <w:color w:val="000000"/>
                <w:lang w:eastAsia="en-US"/>
              </w:rPr>
            </w:pPr>
            <w:r>
              <w:rPr>
                <w:color w:val="000000"/>
                <w:lang w:eastAsia="en-US"/>
              </w:rPr>
              <w:t>0.62</w:t>
            </w:r>
          </w:p>
        </w:tc>
        <w:tc>
          <w:tcPr>
            <w:tcW w:w="1988" w:type="dxa"/>
            <w:tcBorders>
              <w:top w:val="single" w:sz="18" w:space="0" w:color="000000"/>
              <w:start w:val="single" w:sz="18" w:space="0" w:color="000000"/>
              <w:bottom w:val="single" w:sz="18" w:space="0" w:color="000000"/>
              <w:end w:val="single" w:sz="18" w:space="0" w:color="000000"/>
            </w:tcBorders>
          </w:tcPr>
          <w:p>
            <w:pPr>
              <w:pStyle w:val="Normal"/>
              <w:jc w:val="center"/>
              <w:rPr>
                <w:b/>
                <w:color w:val="000000"/>
                <w:lang w:eastAsia="en-US"/>
              </w:rPr>
            </w:pPr>
            <w:r>
              <w:rPr>
                <w:b/>
                <w:color w:val="000000"/>
                <w:lang w:eastAsia="en-US"/>
              </w:rPr>
              <w:t>-0.74</w:t>
            </w:r>
          </w:p>
        </w:tc>
      </w:tr>
      <w:tr>
        <w:trPr>
          <w:trHeight w:val="302" w:hRule="atLeast"/>
        </w:trPr>
        <w:tc>
          <w:tcPr>
            <w:tcW w:w="1987" w:type="dxa"/>
            <w:tcBorders>
              <w:top w:val="single" w:sz="4" w:space="0" w:color="000000"/>
              <w:start w:val="single" w:sz="4" w:space="0" w:color="000000"/>
              <w:bottom w:val="single" w:sz="4" w:space="0" w:color="000000"/>
            </w:tcBorders>
          </w:tcPr>
          <w:p>
            <w:pPr>
              <w:pStyle w:val="Normal"/>
              <w:jc w:val="center"/>
              <w:rPr>
                <w:color w:val="000000"/>
                <w:lang w:eastAsia="en-US"/>
              </w:rPr>
            </w:pPr>
            <w:r>
              <w:rPr>
                <w:color w:val="000000"/>
                <w:lang w:eastAsia="en-US"/>
              </w:rPr>
              <w:t>0.87</w:t>
            </w:r>
          </w:p>
        </w:tc>
        <w:tc>
          <w:tcPr>
            <w:tcW w:w="1988" w:type="dxa"/>
            <w:tcBorders>
              <w:top w:val="single" w:sz="18" w:space="0" w:color="000000"/>
              <w:start w:val="single" w:sz="18" w:space="0" w:color="000000"/>
              <w:bottom w:val="single" w:sz="18" w:space="0" w:color="000000"/>
              <w:end w:val="single" w:sz="18" w:space="0" w:color="000000"/>
            </w:tcBorders>
          </w:tcPr>
          <w:p>
            <w:pPr>
              <w:pStyle w:val="Normal"/>
              <w:jc w:val="center"/>
              <w:rPr>
                <w:b/>
                <w:color w:val="000000"/>
                <w:lang w:eastAsia="en-US"/>
              </w:rPr>
            </w:pPr>
            <w:r>
              <w:rPr>
                <w:b/>
                <w:color w:val="000000"/>
                <w:lang w:eastAsia="en-US"/>
              </w:rPr>
              <w:t>-0.11</w:t>
            </w:r>
          </w:p>
        </w:tc>
        <w:tc>
          <w:tcPr>
            <w:tcW w:w="1987" w:type="dxa"/>
            <w:tcBorders>
              <w:top w:val="single" w:sz="4" w:space="0" w:color="000000"/>
              <w:bottom w:val="single" w:sz="4" w:space="0" w:color="000000"/>
            </w:tcBorders>
          </w:tcPr>
          <w:p>
            <w:pPr>
              <w:pStyle w:val="Normal"/>
              <w:jc w:val="center"/>
              <w:rPr>
                <w:color w:val="000000"/>
                <w:lang w:eastAsia="en-US"/>
              </w:rPr>
            </w:pPr>
            <w:r>
              <w:rPr>
                <w:color w:val="000000"/>
                <w:lang w:eastAsia="en-US"/>
              </w:rPr>
              <w:t>0.61</w:t>
            </w:r>
          </w:p>
        </w:tc>
        <w:tc>
          <w:tcPr>
            <w:tcW w:w="1988" w:type="dxa"/>
            <w:tcBorders>
              <w:top w:val="single" w:sz="18" w:space="0" w:color="000000"/>
              <w:start w:val="single" w:sz="18" w:space="0" w:color="000000"/>
              <w:bottom w:val="single" w:sz="18" w:space="0" w:color="000000"/>
              <w:end w:val="single" w:sz="18" w:space="0" w:color="000000"/>
            </w:tcBorders>
          </w:tcPr>
          <w:p>
            <w:pPr>
              <w:pStyle w:val="Normal"/>
              <w:jc w:val="center"/>
              <w:rPr>
                <w:b/>
                <w:color w:val="000000"/>
                <w:lang w:eastAsia="en-US"/>
              </w:rPr>
            </w:pPr>
            <w:r>
              <w:rPr>
                <w:b/>
                <w:color w:val="000000"/>
                <w:lang w:eastAsia="en-US"/>
              </w:rPr>
              <w:t>-0.77</w:t>
            </w:r>
          </w:p>
        </w:tc>
      </w:tr>
      <w:tr>
        <w:trPr>
          <w:trHeight w:val="302" w:hRule="atLeast"/>
        </w:trPr>
        <w:tc>
          <w:tcPr>
            <w:tcW w:w="1987" w:type="dxa"/>
            <w:tcBorders>
              <w:top w:val="single" w:sz="4" w:space="0" w:color="000000"/>
              <w:start w:val="single" w:sz="4" w:space="0" w:color="000000"/>
              <w:bottom w:val="single" w:sz="4" w:space="0" w:color="000000"/>
            </w:tcBorders>
          </w:tcPr>
          <w:p>
            <w:pPr>
              <w:pStyle w:val="Normal"/>
              <w:jc w:val="center"/>
              <w:rPr>
                <w:color w:val="000000"/>
                <w:lang w:eastAsia="en-US"/>
              </w:rPr>
            </w:pPr>
            <w:r>
              <w:rPr>
                <w:color w:val="000000"/>
                <w:lang w:eastAsia="en-US"/>
              </w:rPr>
              <w:t>0.86</w:t>
            </w:r>
          </w:p>
        </w:tc>
        <w:tc>
          <w:tcPr>
            <w:tcW w:w="1988" w:type="dxa"/>
            <w:tcBorders>
              <w:top w:val="single" w:sz="18" w:space="0" w:color="000000"/>
              <w:start w:val="single" w:sz="18" w:space="0" w:color="000000"/>
              <w:bottom w:val="single" w:sz="18" w:space="0" w:color="000000"/>
              <w:end w:val="single" w:sz="18" w:space="0" w:color="000000"/>
            </w:tcBorders>
          </w:tcPr>
          <w:p>
            <w:pPr>
              <w:pStyle w:val="Normal"/>
              <w:jc w:val="center"/>
              <w:rPr>
                <w:b/>
                <w:color w:val="000000"/>
                <w:lang w:eastAsia="en-US"/>
              </w:rPr>
            </w:pPr>
            <w:r>
              <w:rPr>
                <w:b/>
                <w:color w:val="000000"/>
                <w:lang w:eastAsia="en-US"/>
              </w:rPr>
              <w:t>-0.13</w:t>
            </w:r>
          </w:p>
        </w:tc>
        <w:tc>
          <w:tcPr>
            <w:tcW w:w="1987" w:type="dxa"/>
            <w:tcBorders>
              <w:top w:val="single" w:sz="4" w:space="0" w:color="000000"/>
              <w:bottom w:val="single" w:sz="4" w:space="0" w:color="000000"/>
            </w:tcBorders>
          </w:tcPr>
          <w:p>
            <w:pPr>
              <w:pStyle w:val="Normal"/>
              <w:jc w:val="center"/>
              <w:rPr>
                <w:color w:val="000000"/>
                <w:lang w:eastAsia="en-US"/>
              </w:rPr>
            </w:pPr>
            <w:r>
              <w:rPr>
                <w:color w:val="000000"/>
                <w:lang w:eastAsia="en-US"/>
              </w:rPr>
              <w:t>0.60</w:t>
            </w:r>
          </w:p>
        </w:tc>
        <w:tc>
          <w:tcPr>
            <w:tcW w:w="1988" w:type="dxa"/>
            <w:tcBorders>
              <w:top w:val="single" w:sz="18" w:space="0" w:color="000000"/>
              <w:start w:val="single" w:sz="18" w:space="0" w:color="000000"/>
              <w:bottom w:val="single" w:sz="18" w:space="0" w:color="000000"/>
              <w:end w:val="single" w:sz="18" w:space="0" w:color="000000"/>
            </w:tcBorders>
          </w:tcPr>
          <w:p>
            <w:pPr>
              <w:pStyle w:val="Normal"/>
              <w:jc w:val="center"/>
              <w:rPr>
                <w:b/>
                <w:color w:val="000000"/>
                <w:lang w:eastAsia="en-US"/>
              </w:rPr>
            </w:pPr>
            <w:r>
              <w:rPr>
                <w:b/>
                <w:color w:val="000000"/>
                <w:lang w:eastAsia="en-US"/>
              </w:rPr>
              <w:t>-0.80</w:t>
            </w:r>
          </w:p>
        </w:tc>
      </w:tr>
      <w:tr>
        <w:trPr>
          <w:trHeight w:val="302" w:hRule="atLeast"/>
        </w:trPr>
        <w:tc>
          <w:tcPr>
            <w:tcW w:w="1987" w:type="dxa"/>
            <w:tcBorders>
              <w:top w:val="single" w:sz="4" w:space="0" w:color="000000"/>
              <w:start w:val="single" w:sz="4" w:space="0" w:color="000000"/>
              <w:bottom w:val="single" w:sz="4" w:space="0" w:color="000000"/>
            </w:tcBorders>
          </w:tcPr>
          <w:p>
            <w:pPr>
              <w:pStyle w:val="Normal"/>
              <w:jc w:val="center"/>
              <w:rPr>
                <w:color w:val="000000"/>
                <w:lang w:eastAsia="en-US"/>
              </w:rPr>
            </w:pPr>
            <w:r>
              <w:rPr>
                <w:color w:val="000000"/>
                <w:lang w:eastAsia="en-US"/>
              </w:rPr>
              <w:t>0.85</w:t>
            </w:r>
          </w:p>
        </w:tc>
        <w:tc>
          <w:tcPr>
            <w:tcW w:w="1988" w:type="dxa"/>
            <w:tcBorders>
              <w:top w:val="single" w:sz="18" w:space="0" w:color="000000"/>
              <w:start w:val="single" w:sz="18" w:space="0" w:color="000000"/>
              <w:bottom w:val="single" w:sz="18" w:space="0" w:color="000000"/>
              <w:end w:val="single" w:sz="18" w:space="0" w:color="000000"/>
            </w:tcBorders>
          </w:tcPr>
          <w:p>
            <w:pPr>
              <w:pStyle w:val="Normal"/>
              <w:jc w:val="center"/>
              <w:rPr>
                <w:b/>
                <w:color w:val="000000"/>
                <w:lang w:eastAsia="en-US"/>
              </w:rPr>
            </w:pPr>
            <w:r>
              <w:rPr>
                <w:b/>
                <w:color w:val="000000"/>
                <w:lang w:eastAsia="en-US"/>
              </w:rPr>
              <w:t>-0.15</w:t>
            </w:r>
          </w:p>
        </w:tc>
        <w:tc>
          <w:tcPr>
            <w:tcW w:w="1987" w:type="dxa"/>
            <w:tcBorders>
              <w:top w:val="single" w:sz="4" w:space="0" w:color="000000"/>
              <w:bottom w:val="single" w:sz="4" w:space="0" w:color="000000"/>
            </w:tcBorders>
          </w:tcPr>
          <w:p>
            <w:pPr>
              <w:pStyle w:val="Normal"/>
              <w:jc w:val="center"/>
              <w:rPr>
                <w:color w:val="000000"/>
                <w:lang w:eastAsia="en-US"/>
              </w:rPr>
            </w:pPr>
            <w:r>
              <w:rPr>
                <w:color w:val="000000"/>
                <w:lang w:eastAsia="en-US"/>
              </w:rPr>
              <w:t>0.59</w:t>
            </w:r>
          </w:p>
        </w:tc>
        <w:tc>
          <w:tcPr>
            <w:tcW w:w="1988" w:type="dxa"/>
            <w:tcBorders>
              <w:top w:val="single" w:sz="18" w:space="0" w:color="000000"/>
              <w:start w:val="single" w:sz="18" w:space="0" w:color="000000"/>
              <w:bottom w:val="single" w:sz="18" w:space="0" w:color="000000"/>
              <w:end w:val="single" w:sz="18" w:space="0" w:color="000000"/>
            </w:tcBorders>
          </w:tcPr>
          <w:p>
            <w:pPr>
              <w:pStyle w:val="Normal"/>
              <w:jc w:val="center"/>
              <w:rPr>
                <w:b/>
                <w:color w:val="000000"/>
                <w:lang w:eastAsia="en-US"/>
              </w:rPr>
            </w:pPr>
            <w:r>
              <w:rPr>
                <w:b/>
                <w:color w:val="000000"/>
                <w:lang w:eastAsia="en-US"/>
              </w:rPr>
              <w:t>-0.83</w:t>
            </w:r>
          </w:p>
        </w:tc>
      </w:tr>
      <w:tr>
        <w:trPr>
          <w:trHeight w:val="302" w:hRule="atLeast"/>
        </w:trPr>
        <w:tc>
          <w:tcPr>
            <w:tcW w:w="1987" w:type="dxa"/>
            <w:tcBorders>
              <w:top w:val="single" w:sz="4" w:space="0" w:color="000000"/>
              <w:start w:val="single" w:sz="4" w:space="0" w:color="000000"/>
              <w:bottom w:val="single" w:sz="4" w:space="0" w:color="000000"/>
            </w:tcBorders>
          </w:tcPr>
          <w:p>
            <w:pPr>
              <w:pStyle w:val="Normal"/>
              <w:jc w:val="center"/>
              <w:rPr>
                <w:color w:val="000000"/>
                <w:lang w:eastAsia="en-US"/>
              </w:rPr>
            </w:pPr>
            <w:r>
              <w:rPr>
                <w:color w:val="000000"/>
                <w:lang w:eastAsia="en-US"/>
              </w:rPr>
              <w:t>0.84</w:t>
            </w:r>
          </w:p>
        </w:tc>
        <w:tc>
          <w:tcPr>
            <w:tcW w:w="1988" w:type="dxa"/>
            <w:tcBorders>
              <w:top w:val="single" w:sz="18" w:space="0" w:color="000000"/>
              <w:start w:val="single" w:sz="18" w:space="0" w:color="000000"/>
              <w:bottom w:val="single" w:sz="18" w:space="0" w:color="000000"/>
              <w:end w:val="single" w:sz="18" w:space="0" w:color="000000"/>
            </w:tcBorders>
          </w:tcPr>
          <w:p>
            <w:pPr>
              <w:pStyle w:val="Normal"/>
              <w:jc w:val="center"/>
              <w:rPr>
                <w:b/>
                <w:color w:val="000000"/>
                <w:lang w:eastAsia="en-US"/>
              </w:rPr>
            </w:pPr>
            <w:r>
              <w:rPr>
                <w:b/>
                <w:color w:val="000000"/>
                <w:lang w:eastAsia="en-US"/>
              </w:rPr>
              <w:t>-0.17</w:t>
            </w:r>
          </w:p>
        </w:tc>
        <w:tc>
          <w:tcPr>
            <w:tcW w:w="1987" w:type="dxa"/>
            <w:tcBorders>
              <w:top w:val="single" w:sz="4" w:space="0" w:color="000000"/>
              <w:bottom w:val="single" w:sz="4" w:space="0" w:color="000000"/>
            </w:tcBorders>
          </w:tcPr>
          <w:p>
            <w:pPr>
              <w:pStyle w:val="Normal"/>
              <w:jc w:val="center"/>
              <w:rPr>
                <w:color w:val="000000"/>
                <w:lang w:eastAsia="en-US"/>
              </w:rPr>
            </w:pPr>
            <w:r>
              <w:rPr>
                <w:color w:val="000000"/>
                <w:lang w:eastAsia="en-US"/>
              </w:rPr>
              <w:t>0.58</w:t>
            </w:r>
          </w:p>
        </w:tc>
        <w:tc>
          <w:tcPr>
            <w:tcW w:w="1988" w:type="dxa"/>
            <w:tcBorders>
              <w:top w:val="single" w:sz="18" w:space="0" w:color="000000"/>
              <w:start w:val="single" w:sz="18" w:space="0" w:color="000000"/>
              <w:bottom w:val="single" w:sz="18" w:space="0" w:color="000000"/>
              <w:end w:val="single" w:sz="18" w:space="0" w:color="000000"/>
            </w:tcBorders>
          </w:tcPr>
          <w:p>
            <w:pPr>
              <w:pStyle w:val="Normal"/>
              <w:jc w:val="center"/>
              <w:rPr>
                <w:b/>
                <w:color w:val="000000"/>
                <w:lang w:eastAsia="en-US"/>
              </w:rPr>
            </w:pPr>
            <w:r>
              <w:rPr>
                <w:b/>
                <w:color w:val="000000"/>
                <w:lang w:eastAsia="en-US"/>
              </w:rPr>
              <w:t>-0.86</w:t>
            </w:r>
          </w:p>
        </w:tc>
      </w:tr>
      <w:tr>
        <w:trPr>
          <w:trHeight w:val="302" w:hRule="atLeast"/>
        </w:trPr>
        <w:tc>
          <w:tcPr>
            <w:tcW w:w="1987" w:type="dxa"/>
            <w:tcBorders>
              <w:top w:val="single" w:sz="4" w:space="0" w:color="000000"/>
              <w:start w:val="single" w:sz="4" w:space="0" w:color="000000"/>
              <w:bottom w:val="single" w:sz="4" w:space="0" w:color="000000"/>
            </w:tcBorders>
          </w:tcPr>
          <w:p>
            <w:pPr>
              <w:pStyle w:val="Normal"/>
              <w:jc w:val="center"/>
              <w:rPr>
                <w:color w:val="000000"/>
                <w:lang w:eastAsia="en-US"/>
              </w:rPr>
            </w:pPr>
            <w:r>
              <w:rPr>
                <w:color w:val="000000"/>
                <w:lang w:eastAsia="en-US"/>
              </w:rPr>
              <w:t>0.83</w:t>
            </w:r>
          </w:p>
        </w:tc>
        <w:tc>
          <w:tcPr>
            <w:tcW w:w="1988" w:type="dxa"/>
            <w:tcBorders>
              <w:top w:val="single" w:sz="18" w:space="0" w:color="000000"/>
              <w:start w:val="single" w:sz="18" w:space="0" w:color="000000"/>
              <w:bottom w:val="single" w:sz="18" w:space="0" w:color="000000"/>
              <w:end w:val="single" w:sz="18" w:space="0" w:color="000000"/>
            </w:tcBorders>
          </w:tcPr>
          <w:p>
            <w:pPr>
              <w:pStyle w:val="Normal"/>
              <w:jc w:val="center"/>
              <w:rPr>
                <w:b/>
                <w:color w:val="000000"/>
                <w:lang w:eastAsia="en-US"/>
              </w:rPr>
            </w:pPr>
            <w:r>
              <w:rPr>
                <w:b/>
                <w:color w:val="000000"/>
                <w:lang w:eastAsia="en-US"/>
              </w:rPr>
              <w:t>-0.19</w:t>
            </w:r>
          </w:p>
        </w:tc>
        <w:tc>
          <w:tcPr>
            <w:tcW w:w="1987" w:type="dxa"/>
            <w:tcBorders>
              <w:top w:val="single" w:sz="4" w:space="0" w:color="000000"/>
              <w:bottom w:val="single" w:sz="4" w:space="0" w:color="000000"/>
            </w:tcBorders>
          </w:tcPr>
          <w:p>
            <w:pPr>
              <w:pStyle w:val="Normal"/>
              <w:jc w:val="center"/>
              <w:rPr>
                <w:color w:val="000000"/>
                <w:lang w:eastAsia="en-US"/>
              </w:rPr>
            </w:pPr>
            <w:r>
              <w:rPr>
                <w:color w:val="000000"/>
                <w:lang w:eastAsia="en-US"/>
              </w:rPr>
              <w:t>0.57</w:t>
            </w:r>
          </w:p>
        </w:tc>
        <w:tc>
          <w:tcPr>
            <w:tcW w:w="1988" w:type="dxa"/>
            <w:tcBorders>
              <w:top w:val="single" w:sz="18" w:space="0" w:color="000000"/>
              <w:start w:val="single" w:sz="18" w:space="0" w:color="000000"/>
              <w:bottom w:val="single" w:sz="18" w:space="0" w:color="000000"/>
              <w:end w:val="single" w:sz="18" w:space="0" w:color="000000"/>
            </w:tcBorders>
          </w:tcPr>
          <w:p>
            <w:pPr>
              <w:pStyle w:val="Normal"/>
              <w:jc w:val="center"/>
              <w:rPr>
                <w:b/>
                <w:color w:val="000000"/>
                <w:lang w:eastAsia="en-US"/>
              </w:rPr>
            </w:pPr>
            <w:r>
              <w:rPr>
                <w:b/>
                <w:color w:val="000000"/>
                <w:lang w:eastAsia="en-US"/>
              </w:rPr>
              <w:t>-0.89</w:t>
            </w:r>
          </w:p>
        </w:tc>
      </w:tr>
      <w:tr>
        <w:trPr>
          <w:trHeight w:val="302" w:hRule="atLeast"/>
        </w:trPr>
        <w:tc>
          <w:tcPr>
            <w:tcW w:w="1987" w:type="dxa"/>
            <w:tcBorders>
              <w:top w:val="single" w:sz="4" w:space="0" w:color="000000"/>
              <w:start w:val="single" w:sz="4" w:space="0" w:color="000000"/>
              <w:bottom w:val="single" w:sz="4" w:space="0" w:color="000000"/>
            </w:tcBorders>
          </w:tcPr>
          <w:p>
            <w:pPr>
              <w:pStyle w:val="Normal"/>
              <w:jc w:val="center"/>
              <w:rPr>
                <w:color w:val="000000"/>
                <w:lang w:eastAsia="en-US"/>
              </w:rPr>
            </w:pPr>
            <w:r>
              <w:rPr>
                <w:color w:val="000000"/>
                <w:lang w:eastAsia="en-US"/>
              </w:rPr>
              <w:t>0.82</w:t>
            </w:r>
          </w:p>
        </w:tc>
        <w:tc>
          <w:tcPr>
            <w:tcW w:w="1988" w:type="dxa"/>
            <w:tcBorders>
              <w:top w:val="single" w:sz="18" w:space="0" w:color="000000"/>
              <w:start w:val="single" w:sz="18" w:space="0" w:color="000000"/>
              <w:bottom w:val="single" w:sz="18" w:space="0" w:color="000000"/>
              <w:end w:val="single" w:sz="18" w:space="0" w:color="000000"/>
            </w:tcBorders>
          </w:tcPr>
          <w:p>
            <w:pPr>
              <w:pStyle w:val="Normal"/>
              <w:jc w:val="center"/>
              <w:rPr>
                <w:b/>
                <w:color w:val="000000"/>
                <w:lang w:eastAsia="en-US"/>
              </w:rPr>
            </w:pPr>
            <w:r>
              <w:rPr>
                <w:b/>
                <w:color w:val="000000"/>
                <w:lang w:eastAsia="en-US"/>
              </w:rPr>
              <w:t>-0.21</w:t>
            </w:r>
          </w:p>
        </w:tc>
        <w:tc>
          <w:tcPr>
            <w:tcW w:w="1987" w:type="dxa"/>
            <w:tcBorders>
              <w:top w:val="single" w:sz="4" w:space="0" w:color="000000"/>
              <w:bottom w:val="single" w:sz="4" w:space="0" w:color="000000"/>
            </w:tcBorders>
          </w:tcPr>
          <w:p>
            <w:pPr>
              <w:pStyle w:val="Normal"/>
              <w:jc w:val="center"/>
              <w:rPr>
                <w:color w:val="000000"/>
                <w:lang w:eastAsia="en-US"/>
              </w:rPr>
            </w:pPr>
            <w:r>
              <w:rPr>
                <w:color w:val="000000"/>
                <w:lang w:eastAsia="en-US"/>
              </w:rPr>
              <w:t>0.56</w:t>
            </w:r>
          </w:p>
        </w:tc>
        <w:tc>
          <w:tcPr>
            <w:tcW w:w="1988" w:type="dxa"/>
            <w:tcBorders>
              <w:top w:val="single" w:sz="18" w:space="0" w:color="000000"/>
              <w:start w:val="single" w:sz="18" w:space="0" w:color="000000"/>
              <w:bottom w:val="single" w:sz="18" w:space="0" w:color="000000"/>
              <w:end w:val="single" w:sz="18" w:space="0" w:color="000000"/>
            </w:tcBorders>
          </w:tcPr>
          <w:p>
            <w:pPr>
              <w:pStyle w:val="Normal"/>
              <w:jc w:val="center"/>
              <w:rPr>
                <w:b/>
                <w:color w:val="000000"/>
                <w:lang w:eastAsia="en-US"/>
              </w:rPr>
            </w:pPr>
            <w:r>
              <w:rPr>
                <w:b/>
                <w:color w:val="000000"/>
                <w:lang w:eastAsia="en-US"/>
              </w:rPr>
              <w:t>-0.92</w:t>
            </w:r>
          </w:p>
        </w:tc>
      </w:tr>
      <w:tr>
        <w:trPr>
          <w:trHeight w:val="302" w:hRule="atLeast"/>
        </w:trPr>
        <w:tc>
          <w:tcPr>
            <w:tcW w:w="1987" w:type="dxa"/>
            <w:tcBorders>
              <w:top w:val="single" w:sz="4" w:space="0" w:color="000000"/>
              <w:start w:val="single" w:sz="4" w:space="0" w:color="000000"/>
              <w:bottom w:val="single" w:sz="4" w:space="0" w:color="000000"/>
            </w:tcBorders>
          </w:tcPr>
          <w:p>
            <w:pPr>
              <w:pStyle w:val="Normal"/>
              <w:jc w:val="center"/>
              <w:rPr>
                <w:color w:val="000000"/>
                <w:lang w:eastAsia="en-US"/>
              </w:rPr>
            </w:pPr>
            <w:r>
              <w:rPr>
                <w:color w:val="000000"/>
                <w:lang w:eastAsia="en-US"/>
              </w:rPr>
              <w:t>0.81</w:t>
            </w:r>
          </w:p>
        </w:tc>
        <w:tc>
          <w:tcPr>
            <w:tcW w:w="1988" w:type="dxa"/>
            <w:tcBorders>
              <w:top w:val="single" w:sz="18" w:space="0" w:color="000000"/>
              <w:start w:val="single" w:sz="18" w:space="0" w:color="000000"/>
              <w:bottom w:val="single" w:sz="18" w:space="0" w:color="000000"/>
              <w:end w:val="single" w:sz="18" w:space="0" w:color="000000"/>
            </w:tcBorders>
          </w:tcPr>
          <w:p>
            <w:pPr>
              <w:pStyle w:val="Normal"/>
              <w:jc w:val="center"/>
              <w:rPr>
                <w:b/>
                <w:color w:val="000000"/>
                <w:lang w:eastAsia="en-US"/>
              </w:rPr>
            </w:pPr>
            <w:r>
              <w:rPr>
                <w:b/>
                <w:color w:val="000000"/>
                <w:lang w:eastAsia="en-US"/>
              </w:rPr>
              <w:t>-0.23</w:t>
            </w:r>
          </w:p>
        </w:tc>
        <w:tc>
          <w:tcPr>
            <w:tcW w:w="1987" w:type="dxa"/>
            <w:tcBorders>
              <w:top w:val="single" w:sz="4" w:space="0" w:color="000000"/>
              <w:bottom w:val="single" w:sz="4" w:space="0" w:color="000000"/>
            </w:tcBorders>
          </w:tcPr>
          <w:p>
            <w:pPr>
              <w:pStyle w:val="Normal"/>
              <w:jc w:val="center"/>
              <w:rPr>
                <w:color w:val="000000"/>
                <w:lang w:eastAsia="en-US"/>
              </w:rPr>
            </w:pPr>
            <w:r>
              <w:rPr>
                <w:color w:val="000000"/>
                <w:lang w:eastAsia="en-US"/>
              </w:rPr>
              <w:t>0.55</w:t>
            </w:r>
          </w:p>
        </w:tc>
        <w:tc>
          <w:tcPr>
            <w:tcW w:w="1988" w:type="dxa"/>
            <w:tcBorders>
              <w:top w:val="single" w:sz="18" w:space="0" w:color="000000"/>
              <w:start w:val="single" w:sz="18" w:space="0" w:color="000000"/>
              <w:bottom w:val="single" w:sz="18" w:space="0" w:color="000000"/>
              <w:end w:val="single" w:sz="18" w:space="0" w:color="000000"/>
            </w:tcBorders>
          </w:tcPr>
          <w:p>
            <w:pPr>
              <w:pStyle w:val="Normal"/>
              <w:jc w:val="center"/>
              <w:rPr>
                <w:b/>
                <w:color w:val="000000"/>
                <w:lang w:eastAsia="en-US"/>
              </w:rPr>
            </w:pPr>
            <w:r>
              <w:rPr>
                <w:b/>
                <w:color w:val="000000"/>
                <w:lang w:eastAsia="en-US"/>
              </w:rPr>
              <w:t>-0.95</w:t>
            </w:r>
          </w:p>
        </w:tc>
      </w:tr>
      <w:tr>
        <w:trPr>
          <w:trHeight w:val="302" w:hRule="atLeast"/>
        </w:trPr>
        <w:tc>
          <w:tcPr>
            <w:tcW w:w="1987" w:type="dxa"/>
            <w:tcBorders>
              <w:top w:val="single" w:sz="4" w:space="0" w:color="000000"/>
              <w:start w:val="single" w:sz="4" w:space="0" w:color="000000"/>
              <w:bottom w:val="single" w:sz="4" w:space="0" w:color="000000"/>
            </w:tcBorders>
          </w:tcPr>
          <w:p>
            <w:pPr>
              <w:pStyle w:val="Normal"/>
              <w:jc w:val="center"/>
              <w:rPr>
                <w:color w:val="000000"/>
                <w:lang w:eastAsia="en-US"/>
              </w:rPr>
            </w:pPr>
            <w:r>
              <w:rPr>
                <w:color w:val="000000"/>
                <w:lang w:eastAsia="en-US"/>
              </w:rPr>
              <w:t>0.80</w:t>
            </w:r>
          </w:p>
        </w:tc>
        <w:tc>
          <w:tcPr>
            <w:tcW w:w="1988" w:type="dxa"/>
            <w:tcBorders>
              <w:top w:val="single" w:sz="18" w:space="0" w:color="000000"/>
              <w:start w:val="single" w:sz="18" w:space="0" w:color="000000"/>
              <w:bottom w:val="single" w:sz="18" w:space="0" w:color="000000"/>
              <w:end w:val="single" w:sz="18" w:space="0" w:color="000000"/>
            </w:tcBorders>
          </w:tcPr>
          <w:p>
            <w:pPr>
              <w:pStyle w:val="Normal"/>
              <w:jc w:val="center"/>
              <w:rPr>
                <w:b/>
                <w:color w:val="000000"/>
                <w:lang w:eastAsia="en-US"/>
              </w:rPr>
            </w:pPr>
            <w:r>
              <w:rPr>
                <w:b/>
                <w:color w:val="000000"/>
                <w:lang w:eastAsia="en-US"/>
              </w:rPr>
              <w:t>-0.25</w:t>
            </w:r>
          </w:p>
        </w:tc>
        <w:tc>
          <w:tcPr>
            <w:tcW w:w="1987" w:type="dxa"/>
            <w:tcBorders>
              <w:top w:val="single" w:sz="4" w:space="0" w:color="000000"/>
            </w:tcBorders>
          </w:tcPr>
          <w:p>
            <w:pPr>
              <w:pStyle w:val="Normal"/>
              <w:jc w:val="center"/>
              <w:rPr>
                <w:color w:val="000000"/>
                <w:lang w:eastAsia="en-US"/>
              </w:rPr>
            </w:pPr>
            <w:r>
              <w:rPr>
                <w:color w:val="000000"/>
                <w:lang w:eastAsia="en-US"/>
              </w:rPr>
              <w:t>0.54</w:t>
            </w:r>
          </w:p>
        </w:tc>
        <w:tc>
          <w:tcPr>
            <w:tcW w:w="1988" w:type="dxa"/>
            <w:tcBorders>
              <w:top w:val="single" w:sz="18" w:space="0" w:color="000000"/>
              <w:start w:val="single" w:sz="18" w:space="0" w:color="000000"/>
              <w:end w:val="single" w:sz="18" w:space="0" w:color="000000"/>
            </w:tcBorders>
          </w:tcPr>
          <w:p>
            <w:pPr>
              <w:pStyle w:val="Normal"/>
              <w:jc w:val="center"/>
              <w:rPr>
                <w:b/>
                <w:color w:val="000000"/>
                <w:lang w:eastAsia="en-US"/>
              </w:rPr>
            </w:pPr>
            <w:r>
              <w:rPr>
                <w:b/>
                <w:color w:val="000000"/>
                <w:lang w:eastAsia="en-US"/>
              </w:rPr>
              <w:t>-0.98</w:t>
            </w:r>
          </w:p>
        </w:tc>
      </w:tr>
      <w:tr>
        <w:trPr>
          <w:trHeight w:val="302" w:hRule="atLeast"/>
        </w:trPr>
        <w:tc>
          <w:tcPr>
            <w:tcW w:w="1987" w:type="dxa"/>
            <w:tcBorders>
              <w:top w:val="single" w:sz="4" w:space="0" w:color="000000"/>
              <w:start w:val="single" w:sz="4" w:space="0" w:color="000000"/>
              <w:bottom w:val="single" w:sz="4" w:space="0" w:color="000000"/>
            </w:tcBorders>
          </w:tcPr>
          <w:p>
            <w:pPr>
              <w:pStyle w:val="Normal"/>
              <w:jc w:val="center"/>
              <w:rPr>
                <w:color w:val="000000"/>
                <w:lang w:eastAsia="en-US"/>
              </w:rPr>
            </w:pPr>
            <w:r>
              <w:rPr>
                <w:color w:val="000000"/>
                <w:lang w:eastAsia="en-US"/>
              </w:rPr>
              <w:t>0.79</w:t>
            </w:r>
          </w:p>
        </w:tc>
        <w:tc>
          <w:tcPr>
            <w:tcW w:w="1988" w:type="dxa"/>
            <w:tcBorders>
              <w:top w:val="single" w:sz="18" w:space="0" w:color="000000"/>
              <w:start w:val="single" w:sz="18" w:space="0" w:color="000000"/>
              <w:end w:val="single" w:sz="18" w:space="0" w:color="000000"/>
            </w:tcBorders>
          </w:tcPr>
          <w:p>
            <w:pPr>
              <w:pStyle w:val="Normal"/>
              <w:jc w:val="center"/>
              <w:rPr>
                <w:b/>
                <w:color w:val="000000"/>
                <w:lang w:eastAsia="en-US"/>
              </w:rPr>
            </w:pPr>
            <w:r>
              <w:rPr>
                <w:b/>
                <w:color w:val="000000"/>
                <w:lang w:eastAsia="en-US"/>
              </w:rPr>
              <w:t>-0.27</w:t>
            </w:r>
          </w:p>
        </w:tc>
        <w:tc>
          <w:tcPr>
            <w:tcW w:w="1987" w:type="dxa"/>
            <w:tcBorders>
              <w:top w:val="single" w:sz="4" w:space="0" w:color="000000"/>
              <w:bottom w:val="single" w:sz="8" w:space="0" w:color="000000"/>
            </w:tcBorders>
          </w:tcPr>
          <w:p>
            <w:pPr>
              <w:pStyle w:val="Normal"/>
              <w:jc w:val="center"/>
              <w:rPr>
                <w:color w:val="000000"/>
                <w:lang w:eastAsia="en-US"/>
              </w:rPr>
            </w:pPr>
            <w:r>
              <w:rPr>
                <w:color w:val="000000"/>
                <w:lang w:eastAsia="en-US"/>
              </w:rPr>
              <w:t>0.53</w:t>
            </w:r>
          </w:p>
        </w:tc>
        <w:tc>
          <w:tcPr>
            <w:tcW w:w="1988" w:type="dxa"/>
            <w:tcBorders>
              <w:top w:val="single" w:sz="18" w:space="0" w:color="000000"/>
              <w:start w:val="single" w:sz="18" w:space="0" w:color="000000"/>
              <w:bottom w:val="single" w:sz="18" w:space="0" w:color="000000"/>
              <w:end w:val="single" w:sz="18" w:space="0" w:color="000000"/>
            </w:tcBorders>
          </w:tcPr>
          <w:p>
            <w:pPr>
              <w:pStyle w:val="Normal"/>
              <w:jc w:val="center"/>
              <w:rPr>
                <w:b/>
                <w:color w:val="000000"/>
                <w:lang w:eastAsia="en-US"/>
              </w:rPr>
            </w:pPr>
            <w:r>
              <w:rPr>
                <w:b/>
                <w:color w:val="000000"/>
                <w:lang w:eastAsia="en-US"/>
              </w:rPr>
              <w:t>-1.00</w:t>
            </w:r>
          </w:p>
        </w:tc>
      </w:tr>
      <w:tr>
        <w:trPr>
          <w:trHeight w:val="302" w:hRule="atLeast"/>
        </w:trPr>
        <w:tc>
          <w:tcPr>
            <w:tcW w:w="1987" w:type="dxa"/>
            <w:tcBorders>
              <w:top w:val="single" w:sz="4" w:space="0" w:color="000000"/>
              <w:start w:val="single" w:sz="4" w:space="0" w:color="000000"/>
              <w:bottom w:val="single" w:sz="4" w:space="0" w:color="000000"/>
            </w:tcBorders>
          </w:tcPr>
          <w:p>
            <w:pPr>
              <w:pStyle w:val="Normal"/>
              <w:jc w:val="center"/>
              <w:rPr>
                <w:color w:val="000000"/>
                <w:lang w:eastAsia="en-US"/>
              </w:rPr>
            </w:pPr>
            <w:r>
              <w:rPr>
                <w:color w:val="000000"/>
                <w:lang w:eastAsia="en-US"/>
              </w:rPr>
              <w:t>0.78</w:t>
            </w:r>
          </w:p>
        </w:tc>
        <w:tc>
          <w:tcPr>
            <w:tcW w:w="1988" w:type="dxa"/>
            <w:tcBorders>
              <w:top w:val="single" w:sz="18" w:space="0" w:color="000000"/>
              <w:start w:val="single" w:sz="18" w:space="0" w:color="000000"/>
              <w:bottom w:val="single" w:sz="18" w:space="0" w:color="000000"/>
              <w:end w:val="single" w:sz="18" w:space="0" w:color="000000"/>
            </w:tcBorders>
          </w:tcPr>
          <w:p>
            <w:pPr>
              <w:pStyle w:val="Normal"/>
              <w:jc w:val="center"/>
              <w:rPr>
                <w:b/>
                <w:color w:val="000000"/>
                <w:lang w:eastAsia="en-US"/>
              </w:rPr>
            </w:pPr>
            <w:r>
              <w:rPr>
                <w:b/>
                <w:color w:val="000000"/>
                <w:lang w:eastAsia="en-US"/>
              </w:rPr>
              <w:t>-0.29</w:t>
            </w:r>
          </w:p>
        </w:tc>
        <w:tc>
          <w:tcPr>
            <w:tcW w:w="1987" w:type="dxa"/>
            <w:tcBorders/>
          </w:tcPr>
          <w:p>
            <w:pPr>
              <w:pStyle w:val="Normal"/>
              <w:snapToGrid w:val="false"/>
              <w:jc w:val="center"/>
              <w:rPr>
                <w:b/>
                <w:color w:val="000000"/>
                <w:lang w:eastAsia="en-US"/>
              </w:rPr>
            </w:pPr>
            <w:r>
              <w:rPr>
                <w:b/>
                <w:color w:val="000000"/>
                <w:lang w:eastAsia="en-US"/>
              </w:rPr>
            </w:r>
          </w:p>
        </w:tc>
        <w:tc>
          <w:tcPr>
            <w:tcW w:w="1988" w:type="dxa"/>
            <w:tcBorders/>
          </w:tcPr>
          <w:p>
            <w:pPr>
              <w:pStyle w:val="Normal"/>
              <w:snapToGrid w:val="false"/>
              <w:jc w:val="center"/>
              <w:rPr>
                <w:b/>
                <w:color w:val="000000"/>
                <w:lang w:eastAsia="en-US"/>
              </w:rPr>
            </w:pPr>
            <w:r>
              <w:rPr>
                <w:b/>
                <w:color w:val="000000"/>
                <w:lang w:eastAsia="en-US"/>
              </w:rPr>
            </w:r>
          </w:p>
        </w:tc>
      </w:tr>
      <w:tr>
        <w:trPr>
          <w:trHeight w:val="302" w:hRule="atLeast"/>
        </w:trPr>
        <w:tc>
          <w:tcPr>
            <w:tcW w:w="1987" w:type="dxa"/>
            <w:tcBorders>
              <w:top w:val="single" w:sz="4" w:space="0" w:color="000000"/>
              <w:start w:val="single" w:sz="4" w:space="0" w:color="000000"/>
              <w:bottom w:val="single" w:sz="4" w:space="0" w:color="000000"/>
            </w:tcBorders>
          </w:tcPr>
          <w:p>
            <w:pPr>
              <w:pStyle w:val="Normal"/>
              <w:jc w:val="center"/>
              <w:rPr>
                <w:color w:val="000000"/>
                <w:lang w:eastAsia="en-US"/>
              </w:rPr>
            </w:pPr>
            <w:r>
              <w:rPr>
                <w:color w:val="000000"/>
                <w:lang w:eastAsia="en-US"/>
              </w:rPr>
              <w:t>0.77</w:t>
            </w:r>
          </w:p>
        </w:tc>
        <w:tc>
          <w:tcPr>
            <w:tcW w:w="1988" w:type="dxa"/>
            <w:tcBorders>
              <w:top w:val="single" w:sz="18" w:space="0" w:color="000000"/>
              <w:start w:val="single" w:sz="18" w:space="0" w:color="000000"/>
              <w:bottom w:val="single" w:sz="18" w:space="0" w:color="000000"/>
              <w:end w:val="single" w:sz="18" w:space="0" w:color="000000"/>
            </w:tcBorders>
          </w:tcPr>
          <w:p>
            <w:pPr>
              <w:pStyle w:val="Normal"/>
              <w:jc w:val="center"/>
              <w:rPr>
                <w:b/>
                <w:color w:val="000000"/>
                <w:lang w:eastAsia="en-US"/>
              </w:rPr>
            </w:pPr>
            <w:r>
              <w:rPr>
                <w:b/>
                <w:color w:val="000000"/>
                <w:lang w:eastAsia="en-US"/>
              </w:rPr>
              <w:t>-0.31</w:t>
            </w:r>
          </w:p>
        </w:tc>
        <w:tc>
          <w:tcPr>
            <w:tcW w:w="1987" w:type="dxa"/>
            <w:tcBorders/>
          </w:tcPr>
          <w:p>
            <w:pPr>
              <w:pStyle w:val="Normal"/>
              <w:snapToGrid w:val="false"/>
              <w:jc w:val="center"/>
              <w:rPr>
                <w:b/>
                <w:color w:val="000000"/>
                <w:lang w:eastAsia="en-US"/>
              </w:rPr>
            </w:pPr>
            <w:r>
              <w:rPr>
                <w:b/>
                <w:color w:val="000000"/>
                <w:lang w:eastAsia="en-US"/>
              </w:rPr>
            </w:r>
          </w:p>
        </w:tc>
        <w:tc>
          <w:tcPr>
            <w:tcW w:w="1988" w:type="dxa"/>
            <w:tcBorders/>
          </w:tcPr>
          <w:p>
            <w:pPr>
              <w:pStyle w:val="Normal"/>
              <w:snapToGrid w:val="false"/>
              <w:jc w:val="center"/>
              <w:rPr>
                <w:b/>
                <w:color w:val="000000"/>
                <w:lang w:eastAsia="en-US"/>
              </w:rPr>
            </w:pPr>
            <w:r>
              <w:rPr>
                <w:b/>
                <w:color w:val="000000"/>
                <w:lang w:eastAsia="en-US"/>
              </w:rPr>
            </w:r>
          </w:p>
        </w:tc>
      </w:tr>
      <w:tr>
        <w:trPr>
          <w:trHeight w:val="302" w:hRule="atLeast"/>
        </w:trPr>
        <w:tc>
          <w:tcPr>
            <w:tcW w:w="1987" w:type="dxa"/>
            <w:tcBorders>
              <w:top w:val="single" w:sz="4" w:space="0" w:color="000000"/>
              <w:start w:val="single" w:sz="4" w:space="0" w:color="000000"/>
              <w:bottom w:val="single" w:sz="4" w:space="0" w:color="000000"/>
            </w:tcBorders>
          </w:tcPr>
          <w:p>
            <w:pPr>
              <w:pStyle w:val="Normal"/>
              <w:jc w:val="center"/>
              <w:rPr>
                <w:color w:val="000000"/>
                <w:lang w:eastAsia="en-US"/>
              </w:rPr>
            </w:pPr>
            <w:r>
              <w:rPr>
                <w:color w:val="000000"/>
                <w:lang w:eastAsia="en-US"/>
              </w:rPr>
              <w:t>0.76</w:t>
            </w:r>
          </w:p>
        </w:tc>
        <w:tc>
          <w:tcPr>
            <w:tcW w:w="1988" w:type="dxa"/>
            <w:tcBorders>
              <w:top w:val="single" w:sz="18" w:space="0" w:color="000000"/>
              <w:start w:val="single" w:sz="18" w:space="0" w:color="000000"/>
              <w:bottom w:val="single" w:sz="18" w:space="0" w:color="000000"/>
              <w:end w:val="single" w:sz="18" w:space="0" w:color="000000"/>
            </w:tcBorders>
          </w:tcPr>
          <w:p>
            <w:pPr>
              <w:pStyle w:val="Normal"/>
              <w:jc w:val="center"/>
              <w:rPr>
                <w:b/>
                <w:color w:val="000000"/>
                <w:lang w:eastAsia="en-US"/>
              </w:rPr>
            </w:pPr>
            <w:r>
              <w:rPr>
                <w:b/>
                <w:color w:val="000000"/>
                <w:lang w:eastAsia="en-US"/>
              </w:rPr>
              <w:t>-0.33</w:t>
            </w:r>
          </w:p>
        </w:tc>
        <w:tc>
          <w:tcPr>
            <w:tcW w:w="1987" w:type="dxa"/>
            <w:tcBorders/>
          </w:tcPr>
          <w:p>
            <w:pPr>
              <w:pStyle w:val="Normal"/>
              <w:snapToGrid w:val="false"/>
              <w:jc w:val="center"/>
              <w:rPr>
                <w:b/>
                <w:color w:val="000000"/>
                <w:lang w:eastAsia="en-US"/>
              </w:rPr>
            </w:pPr>
            <w:r>
              <w:rPr>
                <w:b/>
                <w:color w:val="000000"/>
                <w:lang w:eastAsia="en-US"/>
              </w:rPr>
            </w:r>
          </w:p>
        </w:tc>
        <w:tc>
          <w:tcPr>
            <w:tcW w:w="1988" w:type="dxa"/>
            <w:tcBorders/>
          </w:tcPr>
          <w:p>
            <w:pPr>
              <w:pStyle w:val="Normal"/>
              <w:snapToGrid w:val="false"/>
              <w:jc w:val="center"/>
              <w:rPr>
                <w:b/>
                <w:color w:val="000000"/>
                <w:lang w:eastAsia="en-US"/>
              </w:rPr>
            </w:pPr>
            <w:r>
              <w:rPr>
                <w:b/>
                <w:color w:val="000000"/>
                <w:lang w:eastAsia="en-US"/>
              </w:rPr>
            </w:r>
          </w:p>
        </w:tc>
      </w:tr>
      <w:tr>
        <w:trPr>
          <w:trHeight w:val="302" w:hRule="atLeast"/>
        </w:trPr>
        <w:tc>
          <w:tcPr>
            <w:tcW w:w="1987" w:type="dxa"/>
            <w:tcBorders>
              <w:top w:val="single" w:sz="4" w:space="0" w:color="000000"/>
              <w:start w:val="single" w:sz="4" w:space="0" w:color="000000"/>
              <w:bottom w:val="single" w:sz="4" w:space="0" w:color="000000"/>
            </w:tcBorders>
          </w:tcPr>
          <w:p>
            <w:pPr>
              <w:pStyle w:val="Normal"/>
              <w:jc w:val="center"/>
              <w:rPr>
                <w:color w:val="000000"/>
                <w:lang w:eastAsia="en-US"/>
              </w:rPr>
            </w:pPr>
            <w:r>
              <w:rPr>
                <w:color w:val="000000"/>
                <w:lang w:eastAsia="en-US"/>
              </w:rPr>
              <w:t>0.75</w:t>
            </w:r>
          </w:p>
        </w:tc>
        <w:tc>
          <w:tcPr>
            <w:tcW w:w="1988" w:type="dxa"/>
            <w:tcBorders>
              <w:top w:val="single" w:sz="18" w:space="0" w:color="000000"/>
              <w:start w:val="single" w:sz="18" w:space="0" w:color="000000"/>
              <w:bottom w:val="single" w:sz="18" w:space="0" w:color="000000"/>
              <w:end w:val="single" w:sz="18" w:space="0" w:color="000000"/>
            </w:tcBorders>
          </w:tcPr>
          <w:p>
            <w:pPr>
              <w:pStyle w:val="Normal"/>
              <w:jc w:val="center"/>
              <w:rPr>
                <w:b/>
                <w:color w:val="000000"/>
                <w:lang w:eastAsia="en-US"/>
              </w:rPr>
            </w:pPr>
            <w:r>
              <w:rPr>
                <w:b/>
                <w:color w:val="000000"/>
                <w:lang w:eastAsia="en-US"/>
              </w:rPr>
              <w:t>-0.35</w:t>
            </w:r>
          </w:p>
        </w:tc>
        <w:tc>
          <w:tcPr>
            <w:tcW w:w="1987" w:type="dxa"/>
            <w:tcBorders/>
          </w:tcPr>
          <w:p>
            <w:pPr>
              <w:pStyle w:val="Normal"/>
              <w:snapToGrid w:val="false"/>
              <w:jc w:val="center"/>
              <w:rPr>
                <w:b/>
                <w:color w:val="000000"/>
                <w:lang w:eastAsia="en-US"/>
              </w:rPr>
            </w:pPr>
            <w:r>
              <w:rPr>
                <w:b/>
                <w:color w:val="000000"/>
                <w:lang w:eastAsia="en-US"/>
              </w:rPr>
            </w:r>
          </w:p>
        </w:tc>
        <w:tc>
          <w:tcPr>
            <w:tcW w:w="1988" w:type="dxa"/>
            <w:tcBorders/>
          </w:tcPr>
          <w:p>
            <w:pPr>
              <w:pStyle w:val="Normal"/>
              <w:snapToGrid w:val="false"/>
              <w:jc w:val="center"/>
              <w:rPr>
                <w:b/>
                <w:color w:val="000000"/>
                <w:lang w:eastAsia="en-US"/>
              </w:rPr>
            </w:pPr>
            <w:r>
              <w:rPr>
                <w:b/>
                <w:color w:val="000000"/>
                <w:lang w:eastAsia="en-US"/>
              </w:rPr>
            </w:r>
          </w:p>
        </w:tc>
      </w:tr>
    </w:tbl>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5.1.%1"/>
      <w:lvlJc w:val="start"/>
      <w:pPr>
        <w:tabs>
          <w:tab w:val="num" w:pos="720"/>
        </w:tabs>
        <w:ind w:start="360" w:hanging="360"/>
      </w:pPr>
      <w:rPr>
        <w:sz w:val="24"/>
      </w:rPr>
    </w:lvl>
  </w:abstractNum>
  <w:abstractNum w:abstractNumId="3">
    <w:lvl w:ilvl="0">
      <w:start w:val="1"/>
      <w:numFmt w:val="decimal"/>
      <w:lvlText w:val="5.%1 "/>
      <w:lvlJc w:val="start"/>
      <w:pPr>
        <w:tabs>
          <w:tab w:val="num" w:pos="360"/>
        </w:tabs>
        <w:ind w:start="360" w:hanging="360"/>
      </w:pPr>
      <w:rPr>
        <w:sz w:val="24"/>
      </w:rPr>
    </w:lvl>
  </w:abstractNum>
  <w:abstractNum w:abstractNumId="4">
    <w:lvl w:ilvl="0">
      <w:start w:val="2"/>
      <w:numFmt w:val="decimal"/>
      <w:lvlText w:val="5.1.%1"/>
      <w:lvlJc w:val="start"/>
      <w:pPr>
        <w:tabs>
          <w:tab w:val="num" w:pos="720"/>
        </w:tabs>
        <w:ind w:start="360" w:hanging="360"/>
      </w:pPr>
      <w:rPr>
        <w:sz w:val="24"/>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HeadingBase"/>
    <w:next w:val="BodyText"/>
    <w:qFormat/>
    <w:pPr>
      <w:numPr>
        <w:ilvl w:val="0"/>
        <w:numId w:val="1"/>
      </w:numPr>
      <w:pBdr>
        <w:bottom w:val="single" w:sz="6" w:space="3" w:color="000000"/>
      </w:pBdr>
      <w:outlineLvl w:val="0"/>
    </w:pPr>
    <w:rPr>
      <w:caps/>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6z0">
    <w:name w:val="WW8Num16z0"/>
    <w:qFormat/>
    <w:rPr>
      <w:sz w:val="24"/>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Wingdings" w:hAnsi="Wingdings" w:cs="Wingdings"/>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sz w:val="24"/>
    </w:rPr>
  </w:style>
  <w:style w:type="character" w:styleId="WW8Num24z0">
    <w:name w:val="WW8Num24z0"/>
    <w:qFormat/>
    <w:rPr>
      <w:sz w:val="24"/>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sz w:val="24"/>
    </w:rPr>
  </w:style>
  <w:style w:type="character" w:styleId="WW8Num34z0">
    <w:name w:val="WW8Num34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sz w:val="24"/>
    </w:rPr>
  </w:style>
  <w:style w:type="character" w:styleId="WW8Num39z0">
    <w:name w:val="WW8Num39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sz w:val="24"/>
    </w:rPr>
  </w:style>
  <w:style w:type="character" w:styleId="WW8Num46z0">
    <w:name w:val="WW8Num46z0"/>
    <w:qFormat/>
    <w:rPr>
      <w:sz w:val="24"/>
    </w:rPr>
  </w:style>
  <w:style w:type="character" w:styleId="WW8Num47z0">
    <w:name w:val="WW8Num47z0"/>
    <w:qFormat/>
    <w:rPr>
      <w:sz w:val="24"/>
    </w:rPr>
  </w:style>
  <w:style w:type="character" w:styleId="WW8Num50z0">
    <w:name w:val="WW8Num50z0"/>
    <w:qFormat/>
    <w:rPr>
      <w:rFonts w:ascii="Wingdings" w:hAnsi="Wingdings" w:cs="Wingdings"/>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Wingdings" w:hAnsi="Wingdings" w:cs="Wingdings"/>
    </w:rPr>
  </w:style>
  <w:style w:type="character" w:styleId="WW8Num57z0">
    <w:name w:val="WW8Num57z0"/>
    <w:qFormat/>
    <w:rPr>
      <w:rFonts w:ascii="Symbol" w:hAnsi="Symbol" w:cs="Symbol"/>
    </w:rPr>
  </w:style>
  <w:style w:type="character" w:styleId="WW8Num58z0">
    <w:name w:val="WW8Num58z0"/>
    <w:qFormat/>
    <w:rPr>
      <w:rFonts w:ascii="Wingdings" w:hAnsi="Wingdings" w:cs="Wingdings"/>
      <w:sz w:val="16"/>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St11z0">
    <w:name w:val="WW8NumSt11z0"/>
    <w:qFormat/>
    <w:rPr>
      <w:rFonts w:ascii="Wingdings" w:hAnsi="Wingdings" w:cs="Wingdings"/>
      <w:sz w:val="16"/>
    </w:rPr>
  </w:style>
  <w:style w:type="character" w:styleId="DefaultParagraphFont">
    <w:name w:val="Default Paragraph Font"/>
    <w:qFormat/>
    <w:rPr/>
  </w:style>
  <w:style w:type="paragraph" w:styleId="Heading">
    <w:name w:val="Heading"/>
    <w:basedOn w:val="HeadingBase"/>
    <w:next w:val="Subtitle"/>
    <w:qFormat/>
    <w:pPr>
      <w:spacing w:lineRule="exact" w:line="560" w:before="360" w:after="240"/>
      <w:jc w:val="center"/>
    </w:pPr>
    <w:rPr>
      <w:sz w:val="40"/>
    </w:rPr>
  </w:style>
  <w:style w:type="paragraph" w:styleId="BodyText">
    <w:name w:val="Body Text"/>
    <w:basedOn w:val="Normal"/>
    <w:pPr>
      <w:spacing w:before="0" w:after="120"/>
      <w:ind w:hanging="0" w:start="720" w:end="0"/>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Base">
    <w:name w:val="Heading Base"/>
    <w:basedOn w:val="Normal"/>
    <w:next w:val="BodyText"/>
    <w:qFormat/>
    <w:pPr>
      <w:keepNext w:val="true"/>
      <w:keepLines/>
      <w:spacing w:lineRule="exact" w:line="360" w:before="360" w:after="120"/>
    </w:pPr>
    <w:rPr>
      <w:rFonts w:ascii="Arial" w:hAnsi="Arial" w:cs="Arial"/>
      <w:b/>
      <w:kern w:val="2"/>
      <w:sz w:val="28"/>
    </w:rPr>
  </w:style>
  <w:style w:type="paragraph" w:styleId="Subtitle">
    <w:name w:val="Subtitle"/>
    <w:basedOn w:val="Heading"/>
    <w:next w:val="BodyText"/>
    <w:qFormat/>
    <w:pPr>
      <w:spacing w:lineRule="auto" w:line="240" w:before="0" w:after="240"/>
    </w:pPr>
    <w:rPr>
      <w:b w:val="false"/>
      <w:i/>
      <w:sz w:val="28"/>
    </w:rPr>
  </w:style>
  <w:style w:type="paragraph" w:styleId="BodyTextIndent">
    <w:name w:val="Body Text Indent"/>
    <w:basedOn w:val="BodyText"/>
    <w:pPr>
      <w:ind w:hanging="0" w:start="1080" w:end="0"/>
    </w:pPr>
    <w:rPr/>
  </w:style>
  <w:style w:type="paragraph" w:styleId="BodyTextIndent3">
    <w:name w:val="Body Text Indent 3"/>
    <w:basedOn w:val="Normal"/>
    <w:qFormat/>
    <w:pPr>
      <w:widowControl w:val="false"/>
      <w:spacing w:before="0" w:after="240"/>
      <w:ind w:hanging="1440" w:start="288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2000-04-12T12:15:00Z</dcterms:created>
  <dc:creator>Duke Power Company</dc:creator>
  <dc:description/>
  <dc:language>en-CA</dc:language>
  <cp:lastModifiedBy>Craig Truesdell</cp:lastModifiedBy>
  <cp:lastPrinted>2000-04-12T08:32:00Z</cp:lastPrinted>
  <dcterms:modified xsi:type="dcterms:W3CDTF">2000-04-12T12:15:00Z</dcterms:modified>
  <cp:revision>2</cp:revision>
  <dc:subject/>
  <dc:title>Revised Performance Based Payment Approach</dc:title>
</cp:coreProperties>
</file>