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tabs>
          <w:tab w:val="clear" w:pos="720"/>
          <w:tab w:val="center" w:pos="4680" w:leader="none"/>
        </w:tabs>
        <w:jc w:val="both"/>
        <w:rPr/>
      </w:pPr>
      <w:r>
        <w:rPr/>
        <w:tab/>
      </w:r>
      <w:r>
        <w:rPr>
          <w:b/>
          <w:u w:val="single"/>
        </w:rPr>
        <w:t>INFORMATION SERVICES AGREEMENT</w:t>
      </w:r>
    </w:p>
    <w:p>
      <w:pPr>
        <w:pStyle w:val="Normal"/>
        <w:widowControl/>
        <w:jc w:val="both"/>
        <w:rPr/>
      </w:pPr>
      <w:r>
        <w:rPr/>
      </w:r>
    </w:p>
    <w:p>
      <w:pPr>
        <w:pStyle w:val="Normal"/>
        <w:widowControl/>
        <w:jc w:val="both"/>
        <w:rPr/>
      </w:pPr>
      <w:r>
        <w:rPr/>
      </w:r>
    </w:p>
    <w:p>
      <w:pPr>
        <w:pStyle w:val="Normal"/>
        <w:widowControl/>
        <w:jc w:val="both"/>
        <w:rPr/>
      </w:pPr>
      <w:r>
        <w:rPr/>
        <w:t>This Information Services Agreement (this “</w:t>
      </w:r>
      <w:r>
        <w:rPr>
          <w:u w:val="single"/>
        </w:rPr>
        <w:t>Agreement</w:t>
      </w:r>
      <w:r>
        <w:rPr/>
        <w:t>”) is made and entered into as of the _____ day of _________, 2000 between [Enron ______], a ________ _________ with offices at 1400 Smith Street, Houston, Texas 77002 (“</w:t>
      </w:r>
      <w:r>
        <w:rPr>
          <w:u w:val="single"/>
        </w:rPr>
        <w:t>Enron</w:t>
      </w:r>
      <w:r>
        <w:rPr/>
        <w:t>”) and PH Energy Analysis Ltd., a _______ _________ with offices at Ingram House, 13-15 John Adam Street, London WC2N6LD United Kingdom (“</w:t>
      </w:r>
      <w:r>
        <w:rPr>
          <w:u w:val="single"/>
        </w:rPr>
        <w:t>PH</w:t>
      </w:r>
      <w:r>
        <w:rPr/>
        <w:t>”).</w:t>
      </w:r>
    </w:p>
    <w:p>
      <w:pPr>
        <w:pStyle w:val="Normal"/>
        <w:widowControl/>
        <w:jc w:val="both"/>
        <w:rPr/>
      </w:pPr>
      <w:r>
        <w:rPr/>
      </w:r>
    </w:p>
    <w:p>
      <w:pPr>
        <w:pStyle w:val="Normal"/>
        <w:widowControl/>
        <w:ind w:firstLine="720" w:end="0"/>
        <w:jc w:val="both"/>
        <w:rPr/>
      </w:pPr>
      <w:r>
        <w:rPr/>
        <w:t>WHEREAS, Enron is the owner and operator of the Enron Website (as defined below);</w:t>
      </w:r>
    </w:p>
    <w:p>
      <w:pPr>
        <w:pStyle w:val="Normal"/>
        <w:widowControl/>
        <w:jc w:val="both"/>
        <w:rPr/>
      </w:pPr>
      <w:r>
        <w:rPr/>
      </w:r>
    </w:p>
    <w:p>
      <w:pPr>
        <w:pStyle w:val="Normal"/>
        <w:widowControl/>
        <w:ind w:firstLine="720" w:end="0"/>
        <w:jc w:val="both"/>
        <w:rPr/>
      </w:pPr>
      <w:r>
        <w:rPr/>
        <w:t>WHEREAS, PH publishes certain reports containing international energy information;</w:t>
      </w:r>
    </w:p>
    <w:p>
      <w:pPr>
        <w:pStyle w:val="Normal"/>
        <w:widowControl/>
        <w:jc w:val="both"/>
        <w:rPr/>
      </w:pPr>
      <w:r>
        <w:rPr/>
      </w:r>
    </w:p>
    <w:p>
      <w:pPr>
        <w:pStyle w:val="Normal"/>
        <w:widowControl/>
        <w:ind w:firstLine="720" w:end="0"/>
        <w:jc w:val="both"/>
        <w:rPr/>
      </w:pPr>
      <w:r>
        <w:rPr/>
        <w:t>WHEREAS, Enron desires that PH provide Enron with certain daily reports in PDF Format so that Enron may post such reports on the Enron Website and PH has agreed to provide Enron with such reports; and</w:t>
      </w:r>
    </w:p>
    <w:p>
      <w:pPr>
        <w:pStyle w:val="Normal"/>
        <w:widowControl/>
        <w:jc w:val="both"/>
        <w:rPr/>
      </w:pPr>
      <w:r>
        <w:rPr/>
      </w:r>
    </w:p>
    <w:p>
      <w:pPr>
        <w:pStyle w:val="Normal"/>
        <w:widowControl/>
        <w:ind w:firstLine="720" w:end="0"/>
        <w:jc w:val="both"/>
        <w:rPr/>
      </w:pPr>
      <w:r>
        <w:rPr/>
        <w:t>WHEREAS, the parties wish to enter into this Agreement subject to the terms and conditions contained herein.</w:t>
      </w:r>
    </w:p>
    <w:p>
      <w:pPr>
        <w:pStyle w:val="Normal"/>
        <w:widowControl/>
        <w:jc w:val="both"/>
        <w:rPr/>
      </w:pPr>
      <w:r>
        <w:rPr/>
      </w:r>
    </w:p>
    <w:p>
      <w:pPr>
        <w:pStyle w:val="Normal"/>
        <w:widowControl/>
        <w:ind w:firstLine="720" w:end="0"/>
        <w:jc w:val="both"/>
        <w:rPr/>
      </w:pPr>
      <w:r>
        <w:rPr/>
        <w:t>NOW, THEREFORE, in consideration of the mutual promises contained herein, the parties agree as follows:</w:t>
      </w:r>
    </w:p>
    <w:p>
      <w:pPr>
        <w:pStyle w:val="Normal"/>
        <w:widowControl/>
        <w:jc w:val="both"/>
        <w:rPr/>
      </w:pPr>
      <w:r>
        <w:rPr/>
      </w:r>
    </w:p>
    <w:p>
      <w:pPr>
        <w:pStyle w:val="Normal"/>
        <w:widowControl/>
        <w:numPr>
          <w:ilvl w:val="0"/>
          <w:numId w:val="1"/>
        </w:numPr>
        <w:tabs>
          <w:tab w:val="left" w:pos="720" w:leader="none"/>
        </w:tabs>
        <w:ind w:hanging="90" w:start="90" w:end="0"/>
        <w:jc w:val="both"/>
        <w:rPr/>
      </w:pPr>
      <w:r>
        <w:rPr>
          <w:u w:val="single"/>
        </w:rPr>
        <w:t>Definitions</w:t>
      </w:r>
      <w:r>
        <w:rPr/>
        <w:t>.  The following capitalized terms when used in this Agreement shall have the following meanings:</w:t>
      </w:r>
    </w:p>
    <w:p>
      <w:pPr>
        <w:pStyle w:val="Normal"/>
        <w:widowControl/>
        <w:jc w:val="both"/>
        <w:rPr>
          <w:u w:val="single"/>
        </w:rPr>
      </w:pPr>
      <w:r>
        <w:rPr>
          <w:u w:val="single"/>
        </w:rPr>
      </w:r>
    </w:p>
    <w:p>
      <w:pPr>
        <w:pStyle w:val="Normal"/>
        <w:widowControl/>
        <w:ind w:start="720" w:end="0"/>
        <w:jc w:val="both"/>
        <w:rPr/>
      </w:pPr>
      <w:r>
        <w:rPr>
          <w:b/>
        </w:rPr>
        <w:t>[“</w:t>
      </w:r>
      <w:r>
        <w:rPr>
          <w:b/>
          <w:u w:val="single"/>
        </w:rPr>
        <w:t>Business Day</w:t>
      </w:r>
      <w:r>
        <w:rPr>
          <w:b/>
        </w:rPr>
        <w:t xml:space="preserve">”  shall mean each day except days which are bank holidays in the United Kingdom.] </w:t>
      </w:r>
    </w:p>
    <w:p>
      <w:pPr>
        <w:pStyle w:val="Normal"/>
        <w:widowControl/>
        <w:ind w:start="720" w:end="0"/>
        <w:jc w:val="both"/>
        <w:rPr>
          <w:b/>
        </w:rPr>
      </w:pPr>
      <w:r>
        <w:rPr>
          <w:b/>
        </w:rPr>
      </w:r>
    </w:p>
    <w:p>
      <w:pPr>
        <w:pStyle w:val="Normal"/>
        <w:widowControl/>
        <w:ind w:start="720" w:end="0"/>
        <w:jc w:val="both"/>
        <w:rPr/>
      </w:pPr>
      <w:r>
        <w:rPr/>
        <w:t>“</w:t>
      </w:r>
      <w:r>
        <w:rPr>
          <w:u w:val="single"/>
        </w:rPr>
        <w:t>Enron Website</w:t>
      </w:r>
      <w:r>
        <w:rPr/>
        <w:t xml:space="preserve">” shall mean the website maintained by or for Enron and/or its Affiliates located at </w:t>
      </w:r>
      <w:r>
        <w:rPr>
          <w:rStyle w:val="Hypertext"/>
        </w:rPr>
        <w:t>http://www._________.com</w:t>
      </w:r>
      <w:r>
        <w:rPr/>
        <w:t xml:space="preserve"> (and/or any successor or additional addresses).</w:t>
      </w:r>
    </w:p>
    <w:p>
      <w:pPr>
        <w:pStyle w:val="Normal"/>
        <w:widowControl/>
        <w:ind w:start="720" w:end="0"/>
        <w:jc w:val="both"/>
        <w:rPr/>
      </w:pPr>
      <w:r>
        <w:rPr/>
      </w:r>
    </w:p>
    <w:p>
      <w:pPr>
        <w:pStyle w:val="Normal"/>
        <w:widowControl/>
        <w:ind w:start="720" w:end="0"/>
        <w:jc w:val="both"/>
        <w:rPr/>
      </w:pPr>
      <w:r>
        <w:rPr/>
        <w:t>“</w:t>
      </w:r>
      <w:r>
        <w:rPr>
          <w:u w:val="single"/>
        </w:rPr>
        <w:t>Heren Index</w:t>
      </w:r>
      <w:r>
        <w:rPr/>
        <w:t>” shall mean [__________________].</w:t>
      </w:r>
    </w:p>
    <w:p>
      <w:pPr>
        <w:pStyle w:val="Normal"/>
        <w:widowControl/>
        <w:ind w:start="720" w:end="0"/>
        <w:jc w:val="both"/>
        <w:rPr/>
      </w:pPr>
      <w:r>
        <w:rPr/>
      </w:r>
    </w:p>
    <w:p>
      <w:pPr>
        <w:pStyle w:val="Normal"/>
        <w:widowControl/>
        <w:ind w:start="720" w:end="0"/>
        <w:jc w:val="both"/>
        <w:rPr/>
      </w:pPr>
      <w:r>
        <w:rPr/>
        <w:t>“</w:t>
      </w:r>
      <w:r>
        <w:rPr>
          <w:u w:val="single"/>
        </w:rPr>
        <w:t>Link</w:t>
      </w:r>
      <w:r>
        <w:rPr/>
        <w:t>” shall mean an HTML or XML (or successor protocol) hyperlink to an internet address, page or other service which can be activated through a user interface.</w:t>
      </w:r>
    </w:p>
    <w:p>
      <w:pPr>
        <w:pStyle w:val="Normal"/>
        <w:widowControl/>
        <w:ind w:start="720" w:end="0"/>
        <w:jc w:val="both"/>
        <w:rPr/>
      </w:pPr>
      <w:r>
        <w:rPr/>
      </w:r>
    </w:p>
    <w:p>
      <w:pPr>
        <w:pStyle w:val="Normal"/>
        <w:widowControl/>
        <w:ind w:start="720" w:end="0"/>
        <w:jc w:val="both"/>
        <w:rPr/>
      </w:pPr>
      <w:r>
        <w:rPr/>
        <w:t>“</w:t>
      </w:r>
      <w:r>
        <w:rPr>
          <w:u w:val="single"/>
        </w:rPr>
        <w:t>PH Authorized Trademarks</w:t>
      </w:r>
      <w:r>
        <w:rPr/>
        <w:t>” shall mean the PH trademarks, trade names, design marks and service marks which PH has authorized Enron in writing to use and display on the Enron Website as further described herein.</w:t>
      </w:r>
    </w:p>
    <w:p>
      <w:pPr>
        <w:pStyle w:val="Normal"/>
        <w:widowControl/>
        <w:ind w:start="720" w:end="0"/>
        <w:jc w:val="both"/>
        <w:rPr/>
      </w:pPr>
      <w:r>
        <w:rPr/>
      </w:r>
    </w:p>
    <w:p>
      <w:pPr>
        <w:pStyle w:val="Normal"/>
        <w:widowControl/>
        <w:ind w:start="720" w:end="0"/>
        <w:jc w:val="both"/>
        <w:rPr/>
      </w:pPr>
      <w:r>
        <w:rPr/>
        <w:t>“</w:t>
      </w:r>
      <w:r>
        <w:rPr>
          <w:u w:val="single"/>
        </w:rPr>
        <w:t>PH Website</w:t>
      </w:r>
      <w:r>
        <w:rPr/>
        <w:t xml:space="preserve">” shall mean the website maintained by or for PH located at </w:t>
      </w:r>
      <w:r>
        <w:rPr>
          <w:rStyle w:val="Hypertext"/>
        </w:rPr>
        <w:t>http://www.______.com.</w:t>
      </w:r>
    </w:p>
    <w:p>
      <w:pPr>
        <w:pStyle w:val="Normal"/>
        <w:widowControl/>
        <w:ind w:start="720" w:end="0"/>
        <w:jc w:val="both"/>
        <w:rPr/>
      </w:pPr>
      <w:r>
        <w:rPr/>
      </w:r>
    </w:p>
    <w:p>
      <w:pPr>
        <w:pStyle w:val="Normal"/>
        <w:widowControl/>
        <w:ind w:start="720" w:end="0"/>
        <w:jc w:val="both"/>
        <w:rPr/>
      </w:pPr>
      <w:r>
        <w:rPr/>
        <w:t>“</w:t>
      </w:r>
      <w:r>
        <w:rPr>
          <w:u w:val="single"/>
        </w:rPr>
        <w:t>PPI</w:t>
      </w:r>
      <w:r>
        <w:rPr/>
        <w:t>” shall mean the producer price index, as published by the United Kingdom Office for National Statistics in the “Monthly Digest of Statistics” under the heading “18.7 Index Number of Producer Prices – SIC (80) - Output of Manufactured Products (DZCV)” where 1995 equals 100.</w:t>
      </w:r>
    </w:p>
    <w:p>
      <w:pPr>
        <w:pStyle w:val="Normal"/>
        <w:widowControl/>
        <w:ind w:start="720" w:end="0"/>
        <w:jc w:val="both"/>
        <w:rPr/>
      </w:pPr>
      <w:r>
        <w:rPr/>
      </w:r>
    </w:p>
    <w:p>
      <w:pPr>
        <w:pStyle w:val="Normal"/>
        <w:widowControl/>
        <w:ind w:start="720" w:end="0"/>
        <w:jc w:val="both"/>
        <w:rPr/>
      </w:pPr>
      <w:r>
        <w:rPr/>
        <w:t>“</w:t>
      </w:r>
      <w:r>
        <w:rPr>
          <w:u w:val="single"/>
        </w:rPr>
        <w:t>Publications</w:t>
      </w:r>
      <w:r>
        <w:rPr/>
        <w:t>” shall mean any daily publications written or produce by PH and/or its affiliates including the publications currently known as “European Spot Gas Markets” and “European Daily Electricity Markets”.</w:t>
      </w:r>
    </w:p>
    <w:p>
      <w:pPr>
        <w:pStyle w:val="Normal"/>
        <w:widowControl/>
        <w:ind w:start="720" w:end="0"/>
        <w:jc w:val="both"/>
        <w:rPr/>
      </w:pPr>
      <w:r>
        <w:rPr/>
      </w:r>
    </w:p>
    <w:p>
      <w:pPr>
        <w:pStyle w:val="Normal"/>
        <w:widowControl/>
        <w:ind w:start="720" w:end="0"/>
        <w:jc w:val="both"/>
        <w:rPr/>
      </w:pPr>
      <w:r>
        <w:rPr/>
        <w:t>“</w:t>
      </w:r>
      <w:r>
        <w:rPr>
          <w:u w:val="single"/>
        </w:rPr>
        <w:t>Reports</w:t>
      </w:r>
      <w:r>
        <w:rPr/>
        <w:t xml:space="preserve">” shall mean and include, (i) all news stories, articles, editorials and analytical pieces from the Publications each day, (ii) graphs of [NBP] traded volumes, Heren Index values and volumes and [day-ahead] power prices for all of Europe and (iii) daily Heren Indices for gas and power.  A Report shall be produced at the end of each day by PH. </w:t>
      </w:r>
    </w:p>
    <w:p>
      <w:pPr>
        <w:pStyle w:val="Normal"/>
        <w:widowControl/>
        <w:ind w:start="720" w:end="0"/>
        <w:jc w:val="both"/>
        <w:rPr/>
      </w:pPr>
      <w:r>
        <w:rPr/>
      </w:r>
    </w:p>
    <w:p>
      <w:pPr>
        <w:pStyle w:val="Normal"/>
        <w:widowControl/>
        <w:jc w:val="both"/>
        <w:rPr/>
      </w:pPr>
      <w:r>
        <w:rPr/>
        <w:t>2.</w:t>
        <w:tab/>
      </w:r>
      <w:r>
        <w:rPr>
          <w:u w:val="single"/>
        </w:rPr>
        <w:t>Term and Service</w:t>
      </w:r>
      <w:r>
        <w:rPr/>
        <w:t>.  [</w:t>
      </w:r>
      <w:r>
        <w:rPr>
          <w:b/>
        </w:rPr>
        <w:t>Commencing on the third Business Day after Enron provides PH notice of its election to commence receiving the Reports]</w:t>
      </w:r>
      <w:r>
        <w:rPr/>
        <w:t xml:space="preserve">  (the “</w:t>
      </w:r>
      <w:r>
        <w:rPr>
          <w:u w:val="single"/>
        </w:rPr>
        <w:t>Commencement Date</w:t>
      </w:r>
      <w:r>
        <w:rPr/>
        <w:t>”) and continuing each day thereafter up to and including the day before the one year anniversary of the Commencement Date (the “</w:t>
      </w:r>
      <w:r>
        <w:rPr>
          <w:u w:val="single"/>
        </w:rPr>
        <w:t>Initial Term</w:t>
      </w:r>
      <w:r>
        <w:rPr/>
        <w:t xml:space="preserve">”), PH shall provide a Report to Enron  each Business Day by electronic mail </w:t>
      </w:r>
      <w:r>
        <w:rPr>
          <w:b/>
        </w:rPr>
        <w:t>[prior to 11:59 P.M. [Greenwich Meridian Time</w:t>
      </w:r>
      <w:r>
        <w:rPr/>
        <w:t>] of such Business Day in  PDF format (the “</w:t>
      </w:r>
      <w:r>
        <w:rPr>
          <w:u w:val="single"/>
        </w:rPr>
        <w:t>Service</w:t>
      </w:r>
      <w:r>
        <w:rPr/>
        <w:t>”) so that Enron may post such Reports on the Enron Website the next morning.  In the event PH obtains the capability to provide the Service to Enron in real time, PH shall provide the Service to Enron in real time.</w:t>
      </w:r>
    </w:p>
    <w:p>
      <w:pPr>
        <w:pStyle w:val="Normal"/>
        <w:widowControl/>
        <w:jc w:val="both"/>
        <w:rPr/>
      </w:pPr>
      <w:r>
        <w:rPr/>
      </w:r>
    </w:p>
    <w:p>
      <w:pPr>
        <w:pStyle w:val="Normal"/>
        <w:widowControl/>
        <w:jc w:val="both"/>
        <w:rPr/>
      </w:pPr>
      <w:r>
        <w:rPr/>
        <w:t>3.</w:t>
        <w:tab/>
      </w:r>
      <w:r>
        <w:rPr>
          <w:u w:val="single"/>
        </w:rPr>
        <w:t>Renewal Term</w:t>
      </w:r>
      <w:r>
        <w:rPr/>
        <w:t>.  Unless Enron provides written notice to PH on or prior to thirty (30) days before the expiration of the Initial Term, the term of this Agreement shall continue for one (1) additional year (the “</w:t>
      </w:r>
      <w:r>
        <w:rPr>
          <w:u w:val="single"/>
        </w:rPr>
        <w:t>Renewal Term</w:t>
      </w:r>
      <w:r>
        <w:rPr/>
        <w:t>”) commencing on the first anniversary of the Commencement Date (the “</w:t>
      </w:r>
      <w:r>
        <w:rPr>
          <w:u w:val="single"/>
        </w:rPr>
        <w:t>Fee Adjustment Date</w:t>
      </w:r>
      <w:r>
        <w:rPr/>
        <w:t>”).  The Initial Term and Renewal Term shall be hereinafter collectively referred to as the “</w:t>
      </w:r>
      <w:r>
        <w:rPr>
          <w:u w:val="single"/>
        </w:rPr>
        <w:t>Term</w:t>
      </w:r>
      <w:r>
        <w:rPr/>
        <w:t>”.</w:t>
      </w:r>
    </w:p>
    <w:p>
      <w:pPr>
        <w:pStyle w:val="Normal"/>
        <w:widowControl/>
        <w:jc w:val="both"/>
        <w:rPr/>
      </w:pPr>
      <w:r>
        <w:rPr/>
      </w:r>
    </w:p>
    <w:p>
      <w:pPr>
        <w:pStyle w:val="Normal"/>
        <w:widowControl/>
        <w:numPr>
          <w:ilvl w:val="0"/>
          <w:numId w:val="3"/>
        </w:numPr>
        <w:jc w:val="both"/>
        <w:rPr/>
      </w:pPr>
      <w:r>
        <w:rPr>
          <w:u w:val="single"/>
        </w:rPr>
        <w:t>Fees</w:t>
      </w:r>
      <w:r>
        <w:rPr/>
        <w:t>.</w:t>
        <w:tab/>
      </w:r>
    </w:p>
    <w:p>
      <w:pPr>
        <w:pStyle w:val="Normal"/>
        <w:widowControl/>
        <w:jc w:val="both"/>
        <w:rPr/>
      </w:pPr>
      <w:r>
        <w:rPr/>
      </w:r>
    </w:p>
    <w:p>
      <w:pPr>
        <w:pStyle w:val="Normal"/>
        <w:widowControl/>
        <w:ind w:start="720" w:end="0"/>
        <w:jc w:val="both"/>
        <w:rPr/>
      </w:pPr>
      <w:r>
        <w:rPr/>
        <w:t xml:space="preserve">(a) </w:t>
        <w:tab/>
        <w:t xml:space="preserve"> During the Initial Term, Enron shall pay PH an annual fee of $140,000.00 (the “</w:t>
      </w:r>
      <w:r>
        <w:rPr>
          <w:u w:val="single"/>
        </w:rPr>
        <w:t>Fee</w:t>
      </w:r>
      <w:r>
        <w:rPr/>
        <w:t xml:space="preserve">”) for the Service, such Fee to be due and payable </w:t>
      </w:r>
      <w:r>
        <w:rPr>
          <w:b/>
        </w:rPr>
        <w:t>[in quarterly installments of $35,000.00]</w:t>
      </w:r>
      <w:r>
        <w:rPr/>
        <w:t xml:space="preserve"> on the first day of each month at the offices of PH set forth herein except that all payments due hereunder for any fractional month at the commencement or expiration of this Agreement shall be prorated based upon the number of days in such fractional month.</w:t>
      </w:r>
    </w:p>
    <w:p>
      <w:pPr>
        <w:pStyle w:val="Normal"/>
        <w:widowControl/>
        <w:jc w:val="both"/>
        <w:rPr/>
      </w:pPr>
      <w:r>
        <w:rPr/>
      </w:r>
    </w:p>
    <w:p>
      <w:pPr>
        <w:pStyle w:val="Normal"/>
        <w:widowControl/>
        <w:numPr>
          <w:ilvl w:val="0"/>
          <w:numId w:val="2"/>
        </w:numPr>
        <w:tabs>
          <w:tab w:val="clear" w:pos="720"/>
          <w:tab w:val="left" w:pos="630" w:leader="none"/>
          <w:tab w:val="left" w:pos="1440" w:leader="none"/>
        </w:tabs>
        <w:ind w:hanging="0" w:start="720" w:end="0"/>
        <w:jc w:val="both"/>
        <w:rPr/>
      </w:pPr>
      <w:r>
        <w:rPr/>
        <w:t>During the Renewal Term, the Fee shall be adjusted to reflect any changes in the PPI.  The Fee shall be increased or decreased, as applicable, by the same percentage by which the PPI on the Fee Adjustment Date exceeds or recedes, as applicable, the PPI as of the Commencement Date.</w:t>
      </w:r>
    </w:p>
    <w:p>
      <w:pPr>
        <w:pStyle w:val="Normal"/>
        <w:widowControl/>
        <w:jc w:val="both"/>
        <w:rPr/>
      </w:pPr>
      <w:r>
        <w:rPr/>
      </w:r>
    </w:p>
    <w:p>
      <w:pPr>
        <w:pStyle w:val="BodyTextIndent"/>
        <w:rPr/>
      </w:pPr>
      <w:r>
        <w:rPr/>
        <w:t>(c)</w:t>
        <w:tab/>
        <w:t xml:space="preserve">In addition, to the amounts set forth above, Enron shall pay to PH or the relevant taxing authority, as applicable, any applicable sales, use, goods and services or value added taxes payable under this Agreement (other than taxes levied or imposed upon PH’s income). </w:t>
      </w:r>
    </w:p>
    <w:p>
      <w:pPr>
        <w:pStyle w:val="Normal"/>
        <w:widowControl/>
        <w:jc w:val="both"/>
        <w:rPr/>
      </w:pPr>
      <w:r>
        <w:rPr/>
      </w:r>
    </w:p>
    <w:p>
      <w:pPr>
        <w:pStyle w:val="Normal"/>
        <w:widowControl/>
        <w:jc w:val="both"/>
        <w:rPr/>
      </w:pPr>
      <w:r>
        <w:rPr/>
        <w:t>5.</w:t>
        <w:tab/>
      </w:r>
      <w:r>
        <w:rPr>
          <w:u w:val="single"/>
        </w:rPr>
        <w:t>Exclusivity</w:t>
      </w:r>
      <w:r>
        <w:rPr/>
        <w:t>.  The parties agree that Enron’s competitive position would be significantly prejudiced and an essential purpose of this Agreement would be defeated if PH were to provide the Reports to any other owners or operators of websites for the purpose of posting all or any portion of the Reports on a website.  Therefore, PH agrees that during the Term of this Agreement, PH shall not provide the Reports to any other owners</w:t>
      </w:r>
      <w:r>
        <w:rPr>
          <w:b/>
        </w:rPr>
        <w:t>[, users]</w:t>
      </w:r>
      <w:r>
        <w:rPr/>
        <w:t xml:space="preserve"> or operators of websites, regardless of the location of such website or the language used on such website.  In addition, PH shall not provide any other information contained in any Publication produced by PH to any other owners or operators of websites, regardless of the location of such website or the language used on such website.</w:t>
      </w:r>
    </w:p>
    <w:p>
      <w:pPr>
        <w:pStyle w:val="Normal"/>
        <w:widowControl/>
        <w:jc w:val="both"/>
        <w:rPr/>
      </w:pPr>
      <w:r>
        <w:rPr/>
      </w:r>
    </w:p>
    <w:p>
      <w:pPr>
        <w:pStyle w:val="Normal"/>
        <w:widowControl/>
        <w:numPr>
          <w:ilvl w:val="0"/>
          <w:numId w:val="6"/>
        </w:numPr>
        <w:ind w:hanging="0" w:start="0" w:end="0"/>
        <w:jc w:val="both"/>
        <w:rPr/>
      </w:pPr>
      <w:r>
        <w:rPr>
          <w:u w:val="single"/>
        </w:rPr>
        <w:t>Link</w:t>
      </w:r>
      <w:r>
        <w:rPr/>
        <w:t>.  Enron agrees that [</w:t>
      </w:r>
      <w:r>
        <w:rPr>
          <w:b/>
        </w:rPr>
        <w:t>commencing on the date that Enron posts the Reports on the Enron Website, and continuing throughout the Term of this Agreement</w:t>
      </w:r>
      <w:r>
        <w:rPr/>
        <w:t xml:space="preserve">], the Enron Website shall display a PH Authorized Trademark, which button shall contain a Link to the PH Website.  </w:t>
      </w:r>
      <w:r>
        <w:rPr>
          <w:b/>
        </w:rPr>
        <w:t>[Such button shall be of size and location satisfactory to Enron in Enron’s sole discretion.]</w:t>
      </w:r>
      <w:r>
        <w:rPr/>
        <w:t xml:space="preserve">  In connection therewith and as otherwise contemplated herein , PH agrees that Enron may use and PH hereby licenses the PH Authorized Trademarks to Enron provided  that the use of the PH Authorized Trademarks shall not create or provide, and such use shall not indicate that Enron has, any right, title or interest in the PH Authorized Trademarks other than the authorizations provided in this Agreement.</w:t>
      </w:r>
    </w:p>
    <w:p>
      <w:pPr>
        <w:pStyle w:val="Normal"/>
        <w:widowControl/>
        <w:jc w:val="both"/>
        <w:rPr>
          <w:u w:val="single"/>
        </w:rPr>
      </w:pPr>
      <w:r>
        <w:rPr>
          <w:u w:val="single"/>
        </w:rPr>
      </w:r>
    </w:p>
    <w:p>
      <w:pPr>
        <w:pStyle w:val="Normal"/>
        <w:widowControl/>
        <w:jc w:val="both"/>
        <w:rPr/>
      </w:pPr>
      <w:r>
        <w:rPr/>
        <w:t>7.</w:t>
        <w:tab/>
      </w:r>
      <w:r>
        <w:rPr>
          <w:u w:val="single"/>
        </w:rPr>
        <w:t>Standard of Services</w:t>
      </w:r>
      <w:r>
        <w:rPr/>
        <w:t xml:space="preserve">.  PH agrees and covenants that the Service shall be conducted in accordance with all applicable laws and regulations and in accordance with all prevailing and accepted industry practices and standards of customer service, quality and fair dealing.  </w:t>
      </w:r>
    </w:p>
    <w:p>
      <w:pPr>
        <w:pStyle w:val="Normal"/>
        <w:widowControl/>
        <w:jc w:val="both"/>
        <w:rPr/>
      </w:pPr>
      <w:r>
        <w:rPr/>
      </w:r>
    </w:p>
    <w:p>
      <w:pPr>
        <w:pStyle w:val="Normal"/>
        <w:widowControl/>
        <w:jc w:val="both"/>
        <w:rPr/>
      </w:pPr>
      <w:r>
        <w:rPr/>
        <w:t>8.</w:t>
        <w:tab/>
      </w:r>
      <w:r>
        <w:rPr>
          <w:u w:val="single"/>
        </w:rPr>
        <w:t>Confidential Information</w:t>
      </w:r>
      <w:r>
        <w:rPr/>
        <w:t>.  Enron and PH agree that the existence of this Agreement and all information (whether provided in writing, orally or in any other format) disclosed by either of them to the other during the negotiation of this Agreement or to be disclosed during the Term of this Agreement (including, without limitation, business plans, product ideas, marketing concepts, financial information and projections) shall constitute “</w:t>
      </w:r>
      <w:r>
        <w:rPr>
          <w:u w:val="single"/>
        </w:rPr>
        <w:t>Confidential Information</w:t>
      </w:r>
      <w:r>
        <w:rPr/>
        <w:t xml:space="preserve">”; </w:t>
      </w:r>
      <w:r>
        <w:rPr>
          <w:u w:val="single"/>
        </w:rPr>
        <w:t>provided</w:t>
      </w:r>
      <w:r>
        <w:rPr/>
        <w:t>, however that Confidential Information shall not include information (i)  that is or becomes publicly known through no wrongful act of either party (or any of its employees), (ii) that has been approved for release by written authorization of the originating party, (iii) that has been disclosed pursuant to a requirement of a government agency or law or by a court of law, or (iv) that is known to such party at the time of disclosure or is thereafter acquired from a source other than the party disclosing such information.  During the Term, and at all times thereafter, the party to whom Confidential Information has been imparted shall maintain such information as confidential and shall not disclose or permit the same to be disclosed to any other persons or entity.  Each party shall take all reasonable steps to minimize the risks of disclosure of Confidential Information.  Each of the parties further agree that the unauthorized disclosure by it of Confidential Information received from the other shall cause irreparable harm and significant injury to the other which may be difficult to ascertain.  Accordingly, each party agrees that the other shall be entitled  to equitable relief, including, without limitation, an immediate injunction enjoining any breach by it of this Section 8, in addition to all other remedies available to such party at law or in equity.  The parties agree that this Section 8, shall survive the termination or expiration of this Agreement for a period of five (5) years.  Notwithstanding anything contained herein to the contrary, Enron may disclose the existence of this Agreement without the prior written consent of PH.</w:t>
      </w:r>
    </w:p>
    <w:p>
      <w:pPr>
        <w:pStyle w:val="Normal"/>
        <w:widowControl/>
        <w:jc w:val="both"/>
        <w:rPr/>
      </w:pPr>
      <w:r>
        <w:rPr/>
      </w:r>
    </w:p>
    <w:p>
      <w:pPr>
        <w:pStyle w:val="Normal"/>
        <w:keepNext w:val="true"/>
        <w:widowControl/>
        <w:numPr>
          <w:ilvl w:val="0"/>
          <w:numId w:val="5"/>
        </w:numPr>
        <w:jc w:val="both"/>
        <w:rPr/>
      </w:pPr>
      <w:r>
        <w:rPr>
          <w:u w:val="single"/>
        </w:rPr>
        <w:t>Representations, Warranties and Covenants</w:t>
      </w:r>
      <w:r>
        <w:rPr/>
        <w:t xml:space="preserve">.  </w:t>
      </w:r>
    </w:p>
    <w:p>
      <w:pPr>
        <w:pStyle w:val="Normal"/>
        <w:keepNext w:val="true"/>
        <w:widowControl/>
        <w:jc w:val="both"/>
        <w:rPr/>
      </w:pPr>
      <w:r>
        <w:rPr/>
      </w:r>
    </w:p>
    <w:p>
      <w:pPr>
        <w:pStyle w:val="Normal"/>
        <w:widowControl/>
        <w:tabs>
          <w:tab w:val="clear" w:pos="720"/>
          <w:tab w:val="left" w:pos="1440" w:leader="none"/>
        </w:tabs>
        <w:ind w:start="720" w:end="0"/>
        <w:jc w:val="both"/>
        <w:rPr/>
      </w:pPr>
      <w:r>
        <w:rPr/>
        <w:t>(a)</w:t>
        <w:tab/>
        <w:t xml:space="preserve">PH represents and warrants to Enron that (i)it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agreement to which it is a party or by which it is bound,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(iv) all approvals, authorizations or other actions by, or filings with, any governmental authority or other person or entity necessary for the validity or enforceability of its obligations under this Agreement have been obtained, (v) it is the sole owner or a valid licensee of the PH Authorized Trademarks, with full and absolute right to license the PH Trademarks to Enron as contemplated herein, (vi) no part of the PH Authorized Trademarks shall infringe upon the copyrights, trademarks, trade secrets, patents, intellectual property rights or any other proprietary rights of any other person or entity, (vii) the accuracy of all information provided under this Agreement shall be true and correct as of the date provided, (viii) the performance of PH’s obligations under this Agreement shall not violate any applicable law, rule,  regulation, order or injunction and shall not violate any intellectual property rights in force of any third party, and (ix) it shall employ and dedicate sufficient resources and qualified personnel in order to fully, properly and adequately perform the required services and activities set forth in this Agreement. </w:t>
      </w:r>
    </w:p>
    <w:p>
      <w:pPr>
        <w:pStyle w:val="Normal"/>
        <w:widowControl/>
        <w:tabs>
          <w:tab w:val="clear" w:pos="720"/>
          <w:tab w:val="left" w:pos="1440" w:leader="none"/>
        </w:tabs>
        <w:ind w:start="720" w:end="0"/>
        <w:jc w:val="both"/>
        <w:rPr/>
      </w:pPr>
      <w:r>
        <w:rPr/>
      </w:r>
    </w:p>
    <w:p>
      <w:pPr>
        <w:pStyle w:val="BodyTextIndent"/>
        <w:tabs>
          <w:tab w:val="clear" w:pos="720"/>
          <w:tab w:val="left" w:pos="1440" w:leader="none"/>
        </w:tabs>
        <w:rPr/>
      </w:pPr>
      <w:r>
        <w:rPr/>
        <w:t xml:space="preserve">(b) </w:t>
        <w:tab/>
        <w:t>Enron represents and warrants to PH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material agreement to which it is a party or by which it is bound,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(iv) all approvals, authorizations or other actions by, or filings with, any governmental authority or other person or entity necessary for the validity or enforceability of its obligations under this Agreement have been obtained, and (v) the performance of Enron’s obligations under this Agreement shall not violate any applicable law, rule,  regulation, order or injunction and shall not violate any intellectual property rights in force of any third party.  For purposes of this Section 9(b), material agreement shall mean any agreement that creates an obligation of $100,000,000 or more.</w:t>
      </w:r>
    </w:p>
    <w:p>
      <w:pPr>
        <w:pStyle w:val="Normal"/>
        <w:widowControl/>
        <w:jc w:val="both"/>
        <w:rPr/>
      </w:pPr>
      <w:r>
        <w:rPr/>
      </w:r>
    </w:p>
    <w:p>
      <w:pPr>
        <w:pStyle w:val="Normal"/>
        <w:widowControl/>
        <w:numPr>
          <w:ilvl w:val="0"/>
          <w:numId w:val="4"/>
        </w:numPr>
        <w:jc w:val="both"/>
        <w:rPr/>
      </w:pPr>
      <w:r>
        <w:rPr>
          <w:u w:val="single"/>
        </w:rPr>
        <w:t>Indemnification</w:t>
      </w:r>
      <w:r>
        <w:rPr/>
        <w:t>.  PH agrees to indemnify and hold harmless Enron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the representations, warranties and covenants set forth in this Agreement or in the performance of any of its duties, responsibilities or services under this Agreement.</w:t>
      </w:r>
    </w:p>
    <w:p>
      <w:pPr>
        <w:pStyle w:val="Normal"/>
        <w:widowControl/>
        <w:jc w:val="both"/>
        <w:rPr>
          <w:u w:val="single"/>
        </w:rPr>
      </w:pPr>
      <w:r>
        <w:rPr>
          <w:u w:val="single"/>
        </w:rPr>
      </w:r>
    </w:p>
    <w:p>
      <w:pPr>
        <w:pStyle w:val="Normal"/>
        <w:widowControl/>
        <w:jc w:val="both"/>
        <w:rPr/>
      </w:pPr>
      <w:r>
        <w:rPr/>
        <w:t>11.</w:t>
        <w:tab/>
      </w:r>
      <w:r>
        <w:rPr>
          <w:u w:val="single"/>
        </w:rPr>
        <w:t>Insurance</w:t>
      </w:r>
      <w:r>
        <w:rPr/>
        <w:t>.</w:t>
        <w:tab/>
        <w:t>PH agrees that it will maintain insurance with a carrier reasonably acceptable to Enron and with coverage for commercial general liability and errors and omissions of at least one million dollars per occurrence.  PH will name Enron as an additional insured on such insurance and will provide evidence of such insurance to Enron within ten (10) days after the date hereof.  Such insurance policy shall not be cancelled or modified without Enron’s prior written consent.</w:t>
      </w:r>
    </w:p>
    <w:p>
      <w:pPr>
        <w:pStyle w:val="Normal"/>
        <w:widowControl/>
        <w:jc w:val="both"/>
        <w:rPr>
          <w:u w:val="single"/>
        </w:rPr>
      </w:pPr>
      <w:r>
        <w:rPr>
          <w:u w:val="single"/>
        </w:rPr>
      </w:r>
    </w:p>
    <w:p>
      <w:pPr>
        <w:pStyle w:val="Normal"/>
        <w:widowControl/>
        <w:jc w:val="both"/>
        <w:rPr/>
      </w:pPr>
      <w:r>
        <w:rPr/>
        <w:t>12.</w:t>
        <w:tab/>
      </w:r>
      <w:r>
        <w:rPr>
          <w:u w:val="single"/>
        </w:rPr>
        <w:t>Termination For Breach</w:t>
      </w:r>
    </w:p>
    <w:p>
      <w:pPr>
        <w:pStyle w:val="Normal"/>
        <w:widowControl/>
        <w:jc w:val="both"/>
        <w:rPr>
          <w:u w:val="single"/>
        </w:rPr>
      </w:pPr>
      <w:r>
        <w:rPr>
          <w:u w:val="single"/>
        </w:rPr>
      </w:r>
    </w:p>
    <w:p>
      <w:pPr>
        <w:pStyle w:val="BodyTextIndent2"/>
        <w:rPr/>
      </w:pPr>
      <w:r>
        <w:rPr/>
        <w:tab/>
        <w:t>(a)</w:t>
        <w:tab/>
        <w:t xml:space="preserve">In addition to any other remedy available at law or in equity, either party may terminate this Agreement immediately, without further obligation to the other party, in the event of a breach of this Agreement by the other party that is not cured within ten (10) days’ written notice of such breach. </w:t>
      </w:r>
    </w:p>
    <w:p>
      <w:pPr>
        <w:pStyle w:val="Normal"/>
        <w:widowControl/>
        <w:jc w:val="both"/>
        <w:rPr/>
      </w:pPr>
      <w:r>
        <w:rPr/>
      </w:r>
    </w:p>
    <w:p>
      <w:pPr>
        <w:pStyle w:val="BodyTextIndent"/>
        <w:rPr/>
      </w:pPr>
      <w:r>
        <w:rPr/>
        <w:t>(b)</w:t>
        <w:tab/>
        <w:t>In addition to the right of termination set forth in Section 11(a) above, in the event that due to any reason within PH’s control, there is an interruption in the Service which continues for three (3) days following written notice to PH of such interruption, Enron may terminate this Agreement immediately, in which case PH shall refund, pro rata any unused Fees paid in advance.</w:t>
      </w:r>
    </w:p>
    <w:p>
      <w:pPr>
        <w:pStyle w:val="Normal"/>
        <w:widowControl/>
        <w:jc w:val="both"/>
        <w:rPr/>
      </w:pPr>
      <w:r>
        <w:rPr/>
      </w:r>
    </w:p>
    <w:p>
      <w:pPr>
        <w:pStyle w:val="Normal"/>
        <w:widowControl/>
        <w:jc w:val="both"/>
        <w:rPr/>
      </w:pPr>
      <w:r>
        <w:rPr/>
        <w:t>13.</w:t>
        <w:tab/>
      </w:r>
      <w:r>
        <w:rPr>
          <w:u w:val="single"/>
        </w:rPr>
        <w:t>Notices</w:t>
      </w:r>
      <w:r>
        <w:rPr/>
        <w:t>.  Any notices or consents required or permitted by this Agreement shall be in writing and (i) delivered in person or (ii) by registered or certified mail, postage prepaid, return receipt requested, or (iii) by a reputable courier delivery service, or (iv) by facsimile during regular business hours (provided that a confirmation copy follows by any other method of delivery permitted under this Section 11), as follows unless such address is changed by written notice hereunder, and such notice shall be deemed given for purposes of this Agreement on the day that such writing is sent to the intended recipient thereof in accordance with this Section:</w:t>
      </w:r>
    </w:p>
    <w:p>
      <w:pPr>
        <w:pStyle w:val="Normal"/>
        <w:widowControl/>
        <w:jc w:val="both"/>
        <w:rPr/>
      </w:pPr>
      <w:r>
        <w:rPr/>
      </w:r>
    </w:p>
    <w:p>
      <w:pPr>
        <w:pStyle w:val="Normal"/>
        <w:widowControl/>
        <w:tabs>
          <w:tab w:val="clear" w:pos="720"/>
          <w:tab w:val="left" w:pos="5054" w:leader="none"/>
        </w:tabs>
        <w:jc w:val="both"/>
        <w:rPr/>
      </w:pPr>
      <w:r>
        <w:rPr/>
        <w:t>If to Enron:</w:t>
        <w:tab/>
        <w:t>If to PH:</w:t>
      </w:r>
    </w:p>
    <w:p>
      <w:pPr>
        <w:pStyle w:val="Normal"/>
        <w:widowControl/>
        <w:tabs>
          <w:tab w:val="clear" w:pos="720"/>
          <w:tab w:val="right" w:pos="2943" w:leader="none"/>
        </w:tabs>
        <w:jc w:val="both"/>
        <w:rPr/>
      </w:pPr>
      <w:r>
        <w:rPr/>
      </w:r>
    </w:p>
    <w:p>
      <w:pPr>
        <w:pStyle w:val="Normal"/>
        <w:widowControl/>
        <w:tabs>
          <w:tab w:val="clear" w:pos="720"/>
          <w:tab w:val="right" w:pos="3614" w:leader="none"/>
          <w:tab w:val="left" w:pos="5143" w:leader="none"/>
          <w:tab w:val="right" w:pos="9360" w:leader="none"/>
        </w:tabs>
        <w:jc w:val="both"/>
        <w:rPr/>
      </w:pPr>
      <w:r>
        <w:rPr>
          <w:u w:val="single"/>
        </w:rPr>
        <w:tab/>
      </w:r>
      <w:r>
        <w:rPr/>
        <w:tab/>
      </w:r>
      <w:r>
        <w:rPr>
          <w:u w:val="single"/>
        </w:rPr>
        <w:tab/>
      </w:r>
    </w:p>
    <w:p>
      <w:pPr>
        <w:pStyle w:val="Normal"/>
        <w:widowControl/>
        <w:tabs>
          <w:tab w:val="clear" w:pos="720"/>
          <w:tab w:val="right" w:pos="3614" w:leader="none"/>
          <w:tab w:val="left" w:pos="5143" w:leader="none"/>
          <w:tab w:val="right" w:pos="9360" w:leader="none"/>
        </w:tabs>
        <w:jc w:val="both"/>
        <w:rPr/>
      </w:pPr>
      <w:r>
        <w:rPr>
          <w:u w:val="single"/>
        </w:rPr>
        <w:tab/>
      </w:r>
      <w:r>
        <w:rPr/>
        <w:tab/>
      </w:r>
      <w:r>
        <w:rPr>
          <w:u w:val="single"/>
        </w:rPr>
        <w:tab/>
      </w:r>
    </w:p>
    <w:p>
      <w:pPr>
        <w:pStyle w:val="Normal"/>
        <w:widowControl/>
        <w:tabs>
          <w:tab w:val="clear" w:pos="720"/>
          <w:tab w:val="right" w:pos="3614" w:leader="none"/>
          <w:tab w:val="left" w:pos="5143" w:leader="none"/>
          <w:tab w:val="right" w:pos="9360" w:leader="none"/>
        </w:tabs>
        <w:jc w:val="both"/>
        <w:rPr/>
      </w:pPr>
      <w:r>
        <w:rPr>
          <w:u w:val="single"/>
        </w:rPr>
        <w:tab/>
      </w:r>
      <w:r>
        <w:rPr/>
        <w:tab/>
      </w:r>
      <w:r>
        <w:rPr>
          <w:u w:val="single"/>
        </w:rPr>
        <w:tab/>
      </w:r>
    </w:p>
    <w:p>
      <w:pPr>
        <w:pStyle w:val="Normal"/>
        <w:widowControl/>
        <w:tabs>
          <w:tab w:val="clear" w:pos="720"/>
          <w:tab w:val="right" w:pos="3614" w:leader="none"/>
          <w:tab w:val="left" w:pos="5143" w:leader="none"/>
          <w:tab w:val="right" w:pos="9360" w:leader="none"/>
        </w:tabs>
        <w:jc w:val="both"/>
        <w:rPr/>
      </w:pPr>
      <w:r>
        <w:rPr>
          <w:u w:val="single"/>
        </w:rPr>
        <w:tab/>
      </w:r>
      <w:r>
        <w:rPr/>
        <w:tab/>
      </w:r>
      <w:r>
        <w:rPr>
          <w:u w:val="single"/>
        </w:rPr>
        <w:tab/>
      </w:r>
    </w:p>
    <w:p>
      <w:pPr>
        <w:pStyle w:val="Normal"/>
        <w:widowControl/>
        <w:tabs>
          <w:tab w:val="clear" w:pos="720"/>
          <w:tab w:val="right" w:pos="3614" w:leader="none"/>
          <w:tab w:val="left" w:pos="5143" w:leader="none"/>
        </w:tabs>
        <w:jc w:val="both"/>
        <w:rPr/>
      </w:pPr>
      <w:r>
        <w:rPr/>
      </w:r>
    </w:p>
    <w:p>
      <w:pPr>
        <w:pStyle w:val="Normal"/>
        <w:widowControl/>
        <w:tabs>
          <w:tab w:val="clear" w:pos="720"/>
          <w:tab w:val="left" w:pos="-1440" w:leader="none"/>
        </w:tabs>
        <w:jc w:val="both"/>
        <w:rPr/>
      </w:pPr>
      <w:r>
        <w:rPr/>
        <w:t>14.</w:t>
        <w:tab/>
      </w:r>
      <w:r>
        <w:rPr>
          <w:u w:val="single"/>
        </w:rPr>
        <w:t>Assignment</w:t>
      </w:r>
      <w:r>
        <w:rPr/>
        <w:t xml:space="preserve">.  Neither party may assign this Agreement without the prior written consent of the other party, and any attempt by a party to assign this Agreement without such consent shall be null and void and a material breach of this Agreement; </w:t>
      </w:r>
      <w:r>
        <w:rPr>
          <w:u w:val="single"/>
        </w:rPr>
        <w:t>provided</w:t>
      </w:r>
      <w:r>
        <w:rPr/>
        <w:t xml:space="preserve">, </w:t>
      </w:r>
      <w:r>
        <w:rPr>
          <w:u w:val="single"/>
        </w:rPr>
        <w:t>however</w:t>
      </w:r>
      <w:r>
        <w:rPr/>
        <w:t>, that either party may assign this Agreement (i) to any entity in which the party has a greater than fifty percent (50%) equity ownership interest or of which the party has voting control, or (ii) to any entity which acquires more than fifty percent (50%) of that party’s equity ownership interests (whether by merger or otherwise) or substantially all that party’s assets, provided the parties shall remain responsible for the performance of the obligations hereunder.</w:t>
      </w:r>
    </w:p>
    <w:p>
      <w:pPr>
        <w:pStyle w:val="Normal"/>
        <w:widowControl/>
        <w:tabs>
          <w:tab w:val="clear" w:pos="720"/>
          <w:tab w:val="left" w:pos="-1440" w:leader="none"/>
        </w:tabs>
        <w:jc w:val="both"/>
        <w:rPr/>
      </w:pPr>
      <w:r>
        <w:rPr/>
      </w:r>
    </w:p>
    <w:p>
      <w:pPr>
        <w:pStyle w:val="Normal"/>
        <w:widowControl/>
        <w:numPr>
          <w:ilvl w:val="0"/>
          <w:numId w:val="7"/>
        </w:numPr>
        <w:tabs>
          <w:tab w:val="clear" w:pos="720"/>
          <w:tab w:val="left" w:pos="-1440" w:leader="none"/>
        </w:tabs>
        <w:ind w:hanging="0" w:start="0" w:end="0"/>
        <w:jc w:val="both"/>
        <w:rPr/>
      </w:pPr>
      <w:r>
        <w:rPr>
          <w:u w:val="single"/>
        </w:rPr>
        <w:t>Governing Law</w:t>
      </w:r>
      <w:r>
        <w:rPr/>
        <w:t>.  This Agreement shall be governed by and construed in accordance with the laws of the State of Texas, the United States, without reference to the choice of law principles thereof.</w:t>
      </w:r>
    </w:p>
    <w:p>
      <w:pPr>
        <w:pStyle w:val="Normal"/>
        <w:widowControl/>
        <w:tabs>
          <w:tab w:val="clear" w:pos="720"/>
          <w:tab w:val="left" w:pos="-1440" w:leader="none"/>
        </w:tabs>
        <w:jc w:val="both"/>
        <w:rPr/>
      </w:pPr>
      <w:r>
        <w:rPr/>
      </w:r>
    </w:p>
    <w:p>
      <w:pPr>
        <w:pStyle w:val="Normal"/>
        <w:widowControl/>
        <w:numPr>
          <w:ilvl w:val="0"/>
          <w:numId w:val="7"/>
        </w:numPr>
        <w:tabs>
          <w:tab w:val="clear" w:pos="720"/>
          <w:tab w:val="left" w:pos="-1440" w:leader="none"/>
        </w:tabs>
        <w:ind w:hanging="0" w:start="0" w:end="0"/>
        <w:jc w:val="both"/>
        <w:rPr/>
      </w:pPr>
      <w:r>
        <w:rPr>
          <w:u w:val="single"/>
        </w:rPr>
        <w:t>Limitations of Liability</w:t>
      </w:r>
      <w:r>
        <w:rPr/>
        <w:t>.  EXCEPT WITH RESPECT TO LIABILITY ARISING OUT OF THE OBLIGATIONS CONTAINED IN SECTION 10, IN NO EVENT SHALL EITHER PARTY (OR THEIR AFFILIATES) BE LIABLE TO ANY PERSON FOR LOST PROFITS OR ANY FORM OF INDIRECT, SPECIAL, INCIDENTAL, EXEMPLARY, PUNITIVE OR CONSEQUENTIAL DAMAGES OF ANY CHARACTER FROM ANY CAUSES OF ACTION OF ANY KIND WITH RESPECT TO THIS AGREEMENT, WHETHER BASED ON BREACH OF CONTRACT, TORT (INCLUDING NEGLIGENCE) OR OTHERWISE.</w:t>
      </w:r>
    </w:p>
    <w:p>
      <w:pPr>
        <w:pStyle w:val="Normal"/>
        <w:widowControl/>
        <w:tabs>
          <w:tab w:val="clear" w:pos="720"/>
          <w:tab w:val="left" w:pos="-1440" w:leader="none"/>
        </w:tabs>
        <w:jc w:val="both"/>
        <w:rPr/>
      </w:pPr>
      <w:r>
        <w:rPr/>
      </w:r>
    </w:p>
    <w:p>
      <w:pPr>
        <w:pStyle w:val="Normal"/>
        <w:widowControl/>
        <w:numPr>
          <w:ilvl w:val="0"/>
          <w:numId w:val="7"/>
        </w:numPr>
        <w:tabs>
          <w:tab w:val="clear" w:pos="720"/>
          <w:tab w:val="left" w:pos="-1440" w:leader="none"/>
        </w:tabs>
        <w:ind w:hanging="0" w:start="0" w:end="0"/>
        <w:jc w:val="both"/>
        <w:rPr/>
      </w:pPr>
      <w:r>
        <w:rPr>
          <w:u w:val="single"/>
        </w:rPr>
        <w:t>Headings; References</w:t>
      </w:r>
      <w:r>
        <w:rPr/>
        <w:t>.  The titles and headings of sections of this Agreement are for convenience of reference only and shall not in any way affect the construction or interpretation of any provisions hereof.  All references herein to “Sections” or “Schedules” shall be deemed to be references to Sections hereof or Schedules hereto unless otherwise indicated.</w:t>
      </w:r>
    </w:p>
    <w:p>
      <w:pPr>
        <w:pStyle w:val="Normal"/>
        <w:widowControl/>
        <w:tabs>
          <w:tab w:val="clear" w:pos="720"/>
          <w:tab w:val="left" w:pos="-1440" w:leader="none"/>
        </w:tabs>
        <w:jc w:val="both"/>
        <w:rPr/>
      </w:pPr>
      <w:r>
        <w:rPr/>
      </w:r>
    </w:p>
    <w:p>
      <w:pPr>
        <w:pStyle w:val="Normal"/>
        <w:widowControl/>
        <w:numPr>
          <w:ilvl w:val="0"/>
          <w:numId w:val="7"/>
        </w:numPr>
        <w:tabs>
          <w:tab w:val="clear" w:pos="720"/>
          <w:tab w:val="left" w:pos="-1440" w:leader="none"/>
        </w:tabs>
        <w:ind w:hanging="0" w:start="0" w:end="0"/>
        <w:jc w:val="both"/>
        <w:rPr/>
      </w:pPr>
      <w:r>
        <w:rPr>
          <w:u w:val="single"/>
        </w:rPr>
        <w:t>Counterparts</w:t>
      </w:r>
      <w:r>
        <w:rPr/>
        <w:t>.  This Agreement may be executed simultaneously in counterparts, each of which shall be deemed an original and all of which together shall constitutes one and the same instrument.  Transmission by telecopy of an executed counterpart of this Agreement shall be deemed to constitute due and sufficient delivery of such counterpart.</w:t>
      </w:r>
    </w:p>
    <w:p>
      <w:pPr>
        <w:pStyle w:val="Normal"/>
        <w:widowControl/>
        <w:tabs>
          <w:tab w:val="clear" w:pos="720"/>
          <w:tab w:val="left" w:pos="-1440" w:leader="none"/>
        </w:tabs>
        <w:jc w:val="both"/>
        <w:rPr/>
      </w:pPr>
      <w:r>
        <w:rPr/>
      </w:r>
    </w:p>
    <w:p>
      <w:pPr>
        <w:pStyle w:val="Normal"/>
        <w:widowControl/>
        <w:numPr>
          <w:ilvl w:val="0"/>
          <w:numId w:val="7"/>
        </w:numPr>
        <w:tabs>
          <w:tab w:val="clear" w:pos="720"/>
          <w:tab w:val="left" w:pos="-1440" w:leader="none"/>
        </w:tabs>
        <w:ind w:hanging="0" w:start="0" w:end="0"/>
        <w:jc w:val="both"/>
        <w:rPr/>
      </w:pPr>
      <w:r>
        <w:rPr>
          <w:u w:val="single"/>
        </w:rPr>
        <w:t>Amendments; Waivers</w:t>
      </w:r>
      <w:r>
        <w:rPr/>
        <w:t>.  Any amendments to, or waivers of, any provision of this Agreement shall be in writing and signed by both parties or, in the case of a waiver, by the party waiving compliance, and any such waiver shall be effective only in the specific instance and for the specific purpose given.  No failure or delay in the exercise, by either party, of any right, remedy, power or privilege hereunder shall operate as a waiver thereof; nor shall any single or partial exercise of any right, remedy, power or privilege hereunder preclude any other or further exercise thereof or the exercise of any other right, remedy, power or privilege.</w:t>
      </w:r>
    </w:p>
    <w:p>
      <w:pPr>
        <w:pStyle w:val="Normal"/>
        <w:widowControl/>
        <w:tabs>
          <w:tab w:val="clear" w:pos="720"/>
          <w:tab w:val="left" w:pos="-1440" w:leader="none"/>
        </w:tabs>
        <w:jc w:val="both"/>
        <w:rPr/>
      </w:pPr>
      <w:r>
        <w:rPr/>
      </w:r>
    </w:p>
    <w:p>
      <w:pPr>
        <w:pStyle w:val="Normal"/>
        <w:widowControl/>
        <w:numPr>
          <w:ilvl w:val="0"/>
          <w:numId w:val="7"/>
        </w:numPr>
        <w:tabs>
          <w:tab w:val="clear" w:pos="720"/>
          <w:tab w:val="left" w:pos="-1440" w:leader="none"/>
        </w:tabs>
        <w:ind w:hanging="0" w:start="0" w:end="0"/>
        <w:jc w:val="both"/>
        <w:rPr/>
      </w:pPr>
      <w:r>
        <w:rPr>
          <w:u w:val="single"/>
        </w:rPr>
        <w:t>Cumulative Remedies; Binding Effect</w:t>
      </w:r>
      <w:r>
        <w:rPr/>
        <w:t>.  The rights, remedies, powers and privileges herein provided are cumulative and not exclusive of any rights, remedies, powers and privileges provided by law or in equity.  This Agreement shall be binding upon and inure to the benefit of the parties hereto and their respective successors and permitted assigns.</w:t>
      </w:r>
    </w:p>
    <w:p>
      <w:pPr>
        <w:pStyle w:val="Normal"/>
        <w:widowControl/>
        <w:tabs>
          <w:tab w:val="clear" w:pos="720"/>
          <w:tab w:val="left" w:pos="-1440" w:leader="none"/>
        </w:tabs>
        <w:jc w:val="both"/>
        <w:rPr/>
      </w:pPr>
      <w:r>
        <w:rPr/>
      </w:r>
    </w:p>
    <w:p>
      <w:pPr>
        <w:pStyle w:val="Normal"/>
        <w:widowControl/>
        <w:numPr>
          <w:ilvl w:val="0"/>
          <w:numId w:val="7"/>
        </w:numPr>
        <w:tabs>
          <w:tab w:val="clear" w:pos="720"/>
          <w:tab w:val="left" w:pos="-1440" w:leader="none"/>
        </w:tabs>
        <w:ind w:hanging="0" w:start="0" w:end="0"/>
        <w:jc w:val="both"/>
        <w:rPr/>
      </w:pPr>
      <w:r>
        <w:rPr>
          <w:u w:val="single"/>
        </w:rPr>
        <w:t>Relationship of the Parties</w:t>
      </w:r>
      <w:r>
        <w:rPr/>
        <w:t>.  No agency, partnership, joint venture, or employment relationship shall be created or inferred by the existence or performance of this Agreement, and neither party shall have any authority to bind the other in any respect whatsoever.</w:t>
      </w:r>
    </w:p>
    <w:p>
      <w:pPr>
        <w:pStyle w:val="Normal"/>
        <w:widowControl/>
        <w:tabs>
          <w:tab w:val="clear" w:pos="720"/>
          <w:tab w:val="left" w:pos="-1440" w:leader="none"/>
        </w:tabs>
        <w:jc w:val="both"/>
        <w:rPr/>
      </w:pPr>
      <w:r>
        <w:rPr/>
      </w:r>
    </w:p>
    <w:p>
      <w:pPr>
        <w:pStyle w:val="Normal"/>
        <w:widowControl/>
        <w:numPr>
          <w:ilvl w:val="0"/>
          <w:numId w:val="7"/>
        </w:numPr>
        <w:tabs>
          <w:tab w:val="clear" w:pos="720"/>
          <w:tab w:val="left" w:pos="-1440" w:leader="none"/>
        </w:tabs>
        <w:ind w:hanging="0" w:start="0" w:end="0"/>
        <w:jc w:val="both"/>
        <w:rPr/>
      </w:pPr>
      <w:r>
        <w:rPr>
          <w:u w:val="single"/>
        </w:rPr>
        <w:t>Severability</w:t>
      </w:r>
      <w:r>
        <w:rPr/>
        <w:t>.  Whenever possible, each provision of this Agreement shall be interpreted in such manner as to be effective and valid under applicable law, but if any provision of this Agreement is held to be prohibited by or invalid under applicable law, such provision shall be ineffective only to the extent of such prohibition or invalidity, without invalidating the remainder of this Agreement.</w:t>
      </w:r>
    </w:p>
    <w:p>
      <w:pPr>
        <w:pStyle w:val="Normal"/>
        <w:widowControl/>
        <w:tabs>
          <w:tab w:val="clear" w:pos="720"/>
          <w:tab w:val="left" w:pos="-1440" w:leader="none"/>
        </w:tabs>
        <w:jc w:val="both"/>
        <w:rPr/>
      </w:pPr>
      <w:r>
        <w:rPr/>
      </w:r>
    </w:p>
    <w:p>
      <w:pPr>
        <w:pStyle w:val="Normal"/>
        <w:widowControl/>
        <w:numPr>
          <w:ilvl w:val="0"/>
          <w:numId w:val="7"/>
        </w:numPr>
        <w:tabs>
          <w:tab w:val="clear" w:pos="720"/>
          <w:tab w:val="left" w:pos="-1440" w:leader="none"/>
        </w:tabs>
        <w:ind w:hanging="0" w:start="0" w:end="0"/>
        <w:jc w:val="both"/>
        <w:rPr/>
      </w:pPr>
      <w:r>
        <w:rPr>
          <w:u w:val="single"/>
        </w:rPr>
        <w:t>Reliance and Benefit</w:t>
      </w:r>
      <w:r>
        <w:rPr/>
        <w:t>.  This Agreement is intended for the sole and exclusive benefit of the parties hereto and is not intended to confer any benefit upon any other persons whatsoever.  Except for the parties hereto, no other person shall have any right to rely upon this Agreement for any purpose whatsoever.</w:t>
      </w:r>
    </w:p>
    <w:p>
      <w:pPr>
        <w:pStyle w:val="Normal"/>
        <w:widowControl/>
        <w:tabs>
          <w:tab w:val="clear" w:pos="720"/>
          <w:tab w:val="left" w:pos="-1440" w:leader="none"/>
        </w:tabs>
        <w:jc w:val="both"/>
        <w:rPr/>
      </w:pPr>
      <w:r>
        <w:rPr/>
      </w:r>
    </w:p>
    <w:p>
      <w:pPr>
        <w:pStyle w:val="Normal"/>
        <w:widowControl/>
        <w:numPr>
          <w:ilvl w:val="0"/>
          <w:numId w:val="7"/>
        </w:numPr>
        <w:tabs>
          <w:tab w:val="clear" w:pos="720"/>
          <w:tab w:val="left" w:pos="-1440" w:leader="none"/>
        </w:tabs>
        <w:ind w:hanging="0" w:start="0" w:end="0"/>
        <w:jc w:val="both"/>
        <w:rPr/>
      </w:pPr>
      <w:r>
        <w:rPr>
          <w:u w:val="single"/>
        </w:rPr>
        <w:t>Interpretation</w:t>
      </w:r>
      <w:r>
        <w:rPr/>
        <w:t>.  All terms set forth in this Agreement and not otherwise defined herein shall be construed to have meanings consistent with the Internet, World Wide Web and telecommunications industry.</w:t>
      </w:r>
    </w:p>
    <w:p>
      <w:pPr>
        <w:pStyle w:val="Normal"/>
        <w:widowControl/>
        <w:tabs>
          <w:tab w:val="clear" w:pos="720"/>
          <w:tab w:val="left" w:pos="-1440" w:leader="none"/>
        </w:tabs>
        <w:jc w:val="both"/>
        <w:rPr/>
      </w:pPr>
      <w:r>
        <w:rPr/>
      </w:r>
    </w:p>
    <w:p>
      <w:pPr>
        <w:pStyle w:val="Normal"/>
        <w:widowControl/>
        <w:numPr>
          <w:ilvl w:val="0"/>
          <w:numId w:val="7"/>
        </w:numPr>
        <w:tabs>
          <w:tab w:val="clear" w:pos="720"/>
          <w:tab w:val="left" w:pos="-1440" w:leader="none"/>
        </w:tabs>
        <w:ind w:hanging="0" w:start="0" w:end="0"/>
        <w:jc w:val="both"/>
        <w:rPr/>
      </w:pPr>
      <w:r>
        <w:rPr>
          <w:u w:val="single"/>
        </w:rPr>
        <w:t>Entire Agreement</w:t>
      </w:r>
      <w:r>
        <w:rPr/>
        <w:t>.  This Agreement, together with the Schedules hereto, constitutes the sole and entire understanding between the parties with respect to the subject matter hereof and supersedes all prior agreements and understandings between the parties with respect to such subject matter.</w:t>
      </w:r>
    </w:p>
    <w:p>
      <w:pPr>
        <w:pStyle w:val="Normal"/>
        <w:widowControl/>
        <w:tabs>
          <w:tab w:val="clear" w:pos="720"/>
          <w:tab w:val="left" w:pos="-1440" w:leader="none"/>
        </w:tabs>
        <w:jc w:val="both"/>
        <w:rPr/>
      </w:pPr>
      <w:r>
        <w:rPr/>
      </w:r>
    </w:p>
    <w:p>
      <w:pPr>
        <w:pStyle w:val="Normal"/>
        <w:widowControl/>
        <w:numPr>
          <w:ilvl w:val="0"/>
          <w:numId w:val="7"/>
        </w:numPr>
        <w:tabs>
          <w:tab w:val="clear" w:pos="720"/>
          <w:tab w:val="left" w:pos="-1440" w:leader="none"/>
        </w:tabs>
        <w:ind w:hanging="0" w:start="0" w:end="0"/>
        <w:jc w:val="both"/>
        <w:rPr/>
      </w:pPr>
      <w:r>
        <w:rPr>
          <w:u w:val="single"/>
        </w:rPr>
        <w:t>Arbitration</w:t>
      </w:r>
      <w:r>
        <w:rPr/>
        <w:t xml:space="preserve">.  </w:t>
        <w:tab/>
        <w:t>Except for any claim arising out of a breach of Section 8 in which case the non-breaching party may apply to a court to enjoin any breach of such Section,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Houston, State of Texas, USA, unless otherwise agreed to in writing by the parties hereto, shall be governed by the Federal Arbitration Act and shall be conducted in accordance with the rules of the American Arbitration Association (“</w:t>
      </w:r>
      <w:r>
        <w:rPr>
          <w:u w:val="single"/>
        </w:rPr>
        <w:t>AAA</w:t>
      </w:r>
      <w:r>
        <w:rPr/>
        <w:t xml:space="preserve">”).  In deciding the substance of the parties' Claims, the arbitrators shall refer to the laws of the State of Texas.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shall be final, and judgment upon the award may be confirmed and entered in any court, state or Federal having jurisdiction. </w:t>
      </w:r>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ind w:firstLine="720" w:end="0"/>
        <w:jc w:val="both"/>
        <w:rPr/>
      </w:pPr>
      <w:r>
        <w:rPr/>
        <w:t>IN WITNESS WHEREOF, the parties hereto have caused this instrument to be duly executed as of the day and year first above written.</w:t>
      </w:r>
    </w:p>
    <w:p>
      <w:pPr>
        <w:pStyle w:val="Normal"/>
        <w:keepNext w:val="true"/>
        <w:widowControl/>
        <w:tabs>
          <w:tab w:val="clear" w:pos="720"/>
          <w:tab w:val="left" w:pos="-1440" w:leader="none"/>
        </w:tabs>
        <w:jc w:val="both"/>
        <w:rPr/>
      </w:pPr>
      <w:r>
        <w:rPr/>
      </w:r>
    </w:p>
    <w:p>
      <w:pPr>
        <w:pStyle w:val="Normal"/>
        <w:keepNext w:val="true"/>
        <w:widowControl/>
        <w:tabs>
          <w:tab w:val="clear" w:pos="720"/>
          <w:tab w:val="left" w:pos="5054" w:leader="none"/>
        </w:tabs>
        <w:jc w:val="both"/>
        <w:rPr/>
      </w:pPr>
      <w:r>
        <w:rPr/>
        <w:t>[__________________]</w:t>
        <w:tab/>
        <w:t>[__________________]</w:t>
      </w:r>
    </w:p>
    <w:p>
      <w:pPr>
        <w:pStyle w:val="Normal"/>
        <w:keepNext w:val="true"/>
        <w:widowControl/>
        <w:tabs>
          <w:tab w:val="clear" w:pos="720"/>
          <w:tab w:val="right" w:pos="2943" w:leader="none"/>
        </w:tabs>
        <w:jc w:val="both"/>
        <w:rPr/>
      </w:pPr>
      <w:r>
        <w:rPr/>
      </w:r>
    </w:p>
    <w:p>
      <w:pPr>
        <w:pStyle w:val="Normal"/>
        <w:widowControl/>
        <w:tabs>
          <w:tab w:val="clear" w:pos="720"/>
          <w:tab w:val="right" w:pos="3614" w:leader="none"/>
          <w:tab w:val="left" w:pos="5143" w:leader="none"/>
          <w:tab w:val="right" w:pos="9360" w:leader="none"/>
        </w:tabs>
        <w:jc w:val="both"/>
        <w:rPr/>
      </w:pPr>
      <w:r>
        <w:rPr/>
        <w:t>By:</w:t>
      </w:r>
      <w:r>
        <w:rPr>
          <w:u w:val="single"/>
        </w:rPr>
        <w:tab/>
      </w:r>
      <w:r>
        <w:rPr/>
        <w:tab/>
        <w:t>By:</w:t>
      </w:r>
      <w:r>
        <w:rPr>
          <w:u w:val="single"/>
        </w:rPr>
        <w:tab/>
      </w:r>
    </w:p>
    <w:p>
      <w:pPr>
        <w:pStyle w:val="Normal"/>
        <w:widowControl/>
        <w:tabs>
          <w:tab w:val="clear" w:pos="720"/>
          <w:tab w:val="right" w:pos="3578" w:leader="none"/>
          <w:tab w:val="left" w:pos="5107" w:leader="none"/>
          <w:tab w:val="right" w:pos="9360" w:leader="none"/>
        </w:tabs>
        <w:ind w:start="-36" w:end="0"/>
        <w:jc w:val="both"/>
        <w:rPr/>
      </w:pPr>
      <w:r>
        <w:rPr/>
        <w:t>Name:</w:t>
      </w:r>
      <w:r>
        <w:rPr>
          <w:u w:val="single"/>
        </w:rPr>
        <w:tab/>
      </w:r>
      <w:r>
        <w:rPr/>
        <w:tab/>
        <w:t>Name:</w:t>
      </w:r>
      <w:r>
        <w:rPr>
          <w:u w:val="single"/>
        </w:rPr>
        <w:tab/>
      </w:r>
    </w:p>
    <w:p>
      <w:pPr>
        <w:pStyle w:val="Normal"/>
        <w:widowControl/>
        <w:tabs>
          <w:tab w:val="clear" w:pos="720"/>
          <w:tab w:val="right" w:pos="3578" w:leader="none"/>
          <w:tab w:val="left" w:pos="5107" w:leader="none"/>
          <w:tab w:val="right" w:pos="9360" w:leader="none"/>
        </w:tabs>
        <w:ind w:start="-36" w:end="0"/>
        <w:jc w:val="both"/>
        <w:rPr/>
      </w:pPr>
      <w:r>
        <w:rPr/>
        <w:t>Title:</w:t>
      </w:r>
      <w:r>
        <w:rPr>
          <w:u w:val="single"/>
        </w:rPr>
        <w:tab/>
      </w:r>
      <w:r>
        <w:rPr/>
        <w:tab/>
        <w:t>Title:</w:t>
      </w:r>
      <w:r>
        <w:rPr>
          <w:u w:val="single"/>
        </w:rPr>
        <w:tab/>
      </w:r>
    </w:p>
    <w:p>
      <w:pPr>
        <w:pStyle w:val="Normal"/>
        <w:widowControl/>
        <w:tabs>
          <w:tab w:val="clear" w:pos="720"/>
          <w:tab w:val="right" w:pos="3578" w:leader="none"/>
          <w:tab w:val="left" w:pos="5107" w:leader="none"/>
        </w:tabs>
        <w:ind w:start="-36" w:end="0"/>
        <w:jc w:val="both"/>
        <w:rPr/>
      </w:pPr>
      <w:r>
        <w:rPr/>
      </w:r>
    </w:p>
    <w:p>
      <w:pPr>
        <w:pStyle w:val="Normal"/>
        <w:widowControl/>
        <w:tabs>
          <w:tab w:val="clear" w:pos="720"/>
          <w:tab w:val="right" w:pos="3578" w:leader="none"/>
          <w:tab w:val="left" w:pos="5107" w:leader="none"/>
        </w:tabs>
        <w:ind w:start="-36" w:end="0"/>
        <w:jc w:val="both"/>
        <w:rPr/>
      </w:pPr>
      <w:r>
        <w:rPr/>
      </w:r>
    </w:p>
    <w:sectPr>
      <w:footerReference w:type="default" r:id="rId2"/>
      <w:type w:val="nextPage"/>
      <w:pgSz w:w="12240" w:h="15840"/>
      <w:pgMar w:left="1440" w:right="1440" w:gutter="0" w:header="0" w:top="1440" w:footer="36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Normal"/>
      <w:jc w:val="both"/>
      <w:rPr>
        <w:sz w:val="14"/>
      </w:rPr>
    </w:pPr>
    <w:r>
      <w:rPr>
        <w:sz w:val="14"/>
      </w:rPr>
      <w:fldChar w:fldCharType="begin"/>
    </w:r>
    <w:r>
      <w:rPr>
        <w:sz w:val="14"/>
      </w:rPr>
      <w:instrText xml:space="preserve"> FILENAME \p </w:instrText>
    </w:r>
    <w:r>
      <w:rPr>
        <w:sz w:val="14"/>
      </w:rPr>
      <w:fldChar w:fldCharType="separate"/>
    </w:r>
    <w:r>
      <w:rPr>
        <w:sz w:val="14"/>
      </w:rPr>
      <w:t>/mnt/main-storage/datasets/enron-docs/doc/Revised_On_Line_Report_Agreement_1D.doc</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2"/>
      <w:numFmt w:val="lowerLetter"/>
      <w:lvlText w:val="(%1)"/>
      <w:lvlJc w:val="start"/>
      <w:pPr>
        <w:tabs>
          <w:tab w:val="num" w:pos="2160"/>
        </w:tabs>
        <w:ind w:start="2160" w:hanging="720"/>
      </w:pPr>
      <w:rPr/>
    </w:lvl>
  </w:abstractNum>
  <w:abstractNum w:abstractNumId="3">
    <w:lvl w:ilvl="0">
      <w:start w:val="4"/>
      <w:numFmt w:val="decimal"/>
      <w:lvlText w:val="%1."/>
      <w:lvlJc w:val="start"/>
      <w:pPr>
        <w:tabs>
          <w:tab w:val="num" w:pos="720"/>
        </w:tabs>
        <w:ind w:start="720" w:hanging="720"/>
      </w:pPr>
      <w:rPr/>
    </w:lvl>
  </w:abstractNum>
  <w:abstractNum w:abstractNumId="4">
    <w:lvl w:ilvl="0">
      <w:start w:val="10"/>
      <w:numFmt w:val="decimal"/>
      <w:lvlText w:val="%1."/>
      <w:lvlJc w:val="start"/>
      <w:pPr>
        <w:tabs>
          <w:tab w:val="num" w:pos="720"/>
        </w:tabs>
        <w:ind w:start="720" w:hanging="720"/>
      </w:pPr>
      <w:rPr/>
    </w:lvl>
  </w:abstractNum>
  <w:abstractNum w:abstractNumId="5">
    <w:lvl w:ilvl="0">
      <w:start w:val="9"/>
      <w:numFmt w:val="decimal"/>
      <w:lvlText w:val="%1."/>
      <w:lvlJc w:val="start"/>
      <w:pPr>
        <w:tabs>
          <w:tab w:val="num" w:pos="720"/>
        </w:tabs>
        <w:ind w:start="720" w:hanging="720"/>
      </w:pPr>
      <w:rPr/>
    </w:lvl>
  </w:abstractNum>
  <w:abstractNum w:abstractNumId="6">
    <w:lvl w:ilvl="0">
      <w:start w:val="6"/>
      <w:numFmt w:val="decimal"/>
      <w:lvlText w:val="%1."/>
      <w:lvlJc w:val="start"/>
      <w:pPr>
        <w:tabs>
          <w:tab w:val="num" w:pos="720"/>
        </w:tabs>
        <w:ind w:start="720" w:hanging="720"/>
      </w:pPr>
      <w:rPr/>
    </w:lvl>
  </w:abstractNum>
  <w:abstractNum w:abstractNumId="7">
    <w:lvl w:ilvl="0">
      <w:start w:val="15"/>
      <w:numFmt w:val="decimal"/>
      <w:lvlText w:val="%1."/>
      <w:lvlJc w:val="start"/>
      <w:pPr>
        <w:tabs>
          <w:tab w:val="num" w:pos="720"/>
        </w:tabs>
        <w:ind w:start="720" w:hanging="720"/>
      </w:pPr>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0" w:start="720" w:end="0"/>
      <w:jc w:val="both"/>
    </w:pPr>
    <w:rPr/>
  </w:style>
  <w:style w:type="paragraph" w:styleId="BodyTextIndent2">
    <w:name w:val="Body Text Indent 2"/>
    <w:basedOn w:val="Normal"/>
    <w:qFormat/>
    <w:pPr>
      <w:widowControl/>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2000-04-26T19:37:00Z</dcterms:created>
  <dc:creator>jpeters4</dc:creator>
  <dc:description/>
  <dc:language>en-CA</dc:language>
  <cp:lastModifiedBy>jpeters4</cp:lastModifiedBy>
  <cp:lastPrinted>2000-04-27T10:55:00Z</cp:lastPrinted>
  <dcterms:modified xsi:type="dcterms:W3CDTF">2000-04-27T13:31:00Z</dcterms:modified>
  <cp:revision>7</cp:revision>
  <dc:subject/>
  <dc:title/>
</cp:coreProperties>
</file>