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exact" w:line="240"/>
        <w:rPr>
          <w:sz w:val="26"/>
        </w:rPr>
      </w:pPr>
      <w:r>
        <w:rPr>
          <w:sz w:val="26"/>
        </w:rPr>
      </w:r>
    </w:p>
    <w:p>
      <w:pPr>
        <w:pStyle w:val="Normal"/>
        <w:widowControl/>
        <w:spacing w:lineRule="exact" w:line="240"/>
        <w:rPr>
          <w:sz w:val="26"/>
        </w:rPr>
      </w:pPr>
      <w:r>
        <w:rPr>
          <w:sz w:val="26"/>
        </w:rPr>
        <w:t>QUINN EMANUEL URQUHART OLIVER &amp; HEDGES, LLP</w:t>
      </w:r>
    </w:p>
    <w:p>
      <w:pPr>
        <w:pStyle w:val="Normal"/>
        <w:widowControl/>
        <w:spacing w:lineRule="exact" w:line="240"/>
        <w:rPr>
          <w:sz w:val="26"/>
        </w:rPr>
      </w:pPr>
      <w:r>
        <w:rPr>
          <w:sz w:val="26"/>
        </w:rPr>
        <w:t xml:space="preserve">  </w:t>
      </w:r>
      <w:r>
        <w:rPr>
          <w:sz w:val="26"/>
        </w:rPr>
        <w:t>A. William Urquhart (Bar No. 140996)</w:t>
      </w:r>
    </w:p>
    <w:p>
      <w:pPr>
        <w:pStyle w:val="Normal"/>
        <w:widowControl/>
        <w:spacing w:lineRule="exact" w:line="240"/>
        <w:rPr>
          <w:sz w:val="26"/>
        </w:rPr>
      </w:pPr>
      <w:r>
        <w:rPr>
          <w:sz w:val="26"/>
        </w:rPr>
        <w:t xml:space="preserve">  </w:t>
      </w:r>
      <w:r>
        <w:rPr>
          <w:sz w:val="26"/>
        </w:rPr>
        <w:t>Harry A. Olivar, Jr. (Bar No. 143089)</w:t>
      </w:r>
    </w:p>
    <w:p>
      <w:pPr>
        <w:pStyle w:val="Normal"/>
        <w:widowControl/>
        <w:spacing w:lineRule="exact" w:line="240"/>
        <w:rPr>
          <w:sz w:val="26"/>
        </w:rPr>
      </w:pPr>
      <w:r>
        <w:rPr>
          <w:sz w:val="26"/>
        </w:rPr>
        <w:t xml:space="preserve">  </w:t>
      </w:r>
      <w:r>
        <w:rPr>
          <w:sz w:val="26"/>
        </w:rPr>
        <w:t>Kristen Bird (Bar No. 192863)</w:t>
      </w:r>
    </w:p>
    <w:p>
      <w:pPr>
        <w:pStyle w:val="Normal"/>
        <w:widowControl/>
        <w:spacing w:lineRule="exact" w:line="240"/>
        <w:rPr>
          <w:sz w:val="26"/>
        </w:rPr>
      </w:pPr>
      <w:r>
        <w:rPr>
          <w:sz w:val="26"/>
        </w:rPr>
        <w:t xml:space="preserve">  </w:t>
      </w:r>
      <w:r>
        <w:rPr>
          <w:sz w:val="26"/>
        </w:rPr>
        <w:t>Michael T. Lifrak (Bar No. 210846)</w:t>
      </w:r>
    </w:p>
    <w:p>
      <w:pPr>
        <w:pStyle w:val="Normal"/>
        <w:widowControl/>
        <w:spacing w:lineRule="exact" w:line="240"/>
        <w:rPr>
          <w:sz w:val="26"/>
        </w:rPr>
      </w:pPr>
      <w:r>
        <w:rPr>
          <w:sz w:val="26"/>
        </w:rPr>
        <w:t>865 South Figueroa Street, 10th Floor</w:t>
      </w:r>
    </w:p>
    <w:p>
      <w:pPr>
        <w:pStyle w:val="Normal"/>
        <w:widowControl/>
        <w:spacing w:lineRule="exact" w:line="240"/>
        <w:rPr>
          <w:sz w:val="26"/>
        </w:rPr>
      </w:pPr>
      <w:r>
        <w:rPr>
          <w:sz w:val="26"/>
        </w:rPr>
        <w:t>Los Angeles, California  90017-2543</w:t>
      </w:r>
    </w:p>
    <w:p>
      <w:pPr>
        <w:pStyle w:val="Normal"/>
        <w:widowControl/>
        <w:spacing w:lineRule="exact" w:line="240"/>
        <w:rPr>
          <w:sz w:val="26"/>
        </w:rPr>
      </w:pPr>
      <w:r>
        <w:rPr>
          <w:sz w:val="26"/>
        </w:rPr>
        <w:t>(213) 624-7707 (phone)</w:t>
      </w:r>
    </w:p>
    <w:p>
      <w:pPr>
        <w:pStyle w:val="Normal"/>
        <w:widowControl/>
        <w:spacing w:lineRule="exact" w:line="240"/>
        <w:rPr>
          <w:sz w:val="26"/>
        </w:rPr>
      </w:pPr>
      <w:r>
        <w:rPr>
          <w:sz w:val="26"/>
        </w:rPr>
        <w:t>(213) 624-0643 (fax)</w:t>
      </w:r>
    </w:p>
    <w:p>
      <w:pPr>
        <w:pStyle w:val="Normal"/>
        <w:widowControl/>
        <w:spacing w:lineRule="exact" w:line="240"/>
        <w:rPr>
          <w:sz w:val="26"/>
        </w:rPr>
      </w:pPr>
      <w:r>
        <w:rPr>
          <w:sz w:val="26"/>
        </w:rPr>
      </w:r>
    </w:p>
    <w:p>
      <w:pPr>
        <w:pStyle w:val="Normal"/>
        <w:widowControl/>
        <w:spacing w:lineRule="exact" w:line="240"/>
        <w:rPr>
          <w:sz w:val="26"/>
        </w:rPr>
      </w:pPr>
      <w:r>
        <w:rPr>
          <w:sz w:val="26"/>
        </w:rPr>
        <w:t>BROBECK, PHLEGER &amp; HARRISON, L.L.P.</w:t>
      </w:r>
    </w:p>
    <w:p>
      <w:pPr>
        <w:pStyle w:val="Normal"/>
        <w:widowControl/>
        <w:spacing w:lineRule="exact" w:line="240"/>
        <w:rPr>
          <w:sz w:val="26"/>
        </w:rPr>
      </w:pPr>
      <w:r>
        <w:rPr>
          <w:sz w:val="26"/>
        </w:rPr>
        <w:t xml:space="preserve">  </w:t>
      </w:r>
      <w:r>
        <w:rPr>
          <w:sz w:val="26"/>
        </w:rPr>
        <w:t>Gary S. Fergus (Bar No. 95318)</w:t>
      </w:r>
    </w:p>
    <w:p>
      <w:pPr>
        <w:pStyle w:val="Normal"/>
        <w:widowControl/>
        <w:spacing w:lineRule="exact" w:line="240"/>
        <w:rPr>
          <w:sz w:val="26"/>
        </w:rPr>
      </w:pPr>
      <w:r>
        <w:rPr>
          <w:sz w:val="26"/>
        </w:rPr>
        <w:t xml:space="preserve">  </w:t>
      </w:r>
      <w:r>
        <w:rPr>
          <w:sz w:val="26"/>
        </w:rPr>
        <w:t>Michael E. Molland (Bar No. 111830)</w:t>
      </w:r>
    </w:p>
    <w:p>
      <w:pPr>
        <w:pStyle w:val="Normal"/>
        <w:widowControl/>
        <w:spacing w:lineRule="exact" w:line="240"/>
        <w:rPr>
          <w:sz w:val="26"/>
        </w:rPr>
      </w:pPr>
      <w:r>
        <w:rPr>
          <w:sz w:val="26"/>
        </w:rPr>
        <w:t xml:space="preserve">  </w:t>
      </w:r>
      <w:r>
        <w:rPr>
          <w:sz w:val="26"/>
        </w:rPr>
        <w:t>Peter Meringolo (Bar No. 197136)</w:t>
      </w:r>
    </w:p>
    <w:p>
      <w:pPr>
        <w:pStyle w:val="Normal"/>
        <w:widowControl/>
        <w:spacing w:lineRule="exact" w:line="240"/>
        <w:rPr>
          <w:sz w:val="26"/>
        </w:rPr>
      </w:pPr>
      <w:r>
        <w:rPr>
          <w:sz w:val="26"/>
        </w:rPr>
        <w:t>Spear Street Tower</w:t>
      </w:r>
    </w:p>
    <w:p>
      <w:pPr>
        <w:pStyle w:val="Normal"/>
        <w:widowControl/>
        <w:spacing w:lineRule="exact" w:line="240"/>
        <w:rPr>
          <w:sz w:val="26"/>
        </w:rPr>
      </w:pPr>
      <w:r>
        <w:rPr>
          <w:sz w:val="26"/>
        </w:rPr>
        <w:t>One Market</w:t>
      </w:r>
    </w:p>
    <w:p>
      <w:pPr>
        <w:pStyle w:val="Normal"/>
        <w:widowControl/>
        <w:spacing w:lineRule="exact" w:line="240"/>
        <w:rPr>
          <w:sz w:val="26"/>
        </w:rPr>
      </w:pPr>
      <w:r>
        <w:rPr>
          <w:sz w:val="26"/>
        </w:rPr>
        <w:t>San Francisco, California 94105</w:t>
      </w:r>
    </w:p>
    <w:p>
      <w:pPr>
        <w:pStyle w:val="Normal"/>
        <w:widowControl/>
        <w:spacing w:lineRule="exact" w:line="240"/>
        <w:rPr>
          <w:sz w:val="26"/>
        </w:rPr>
      </w:pPr>
      <w:r>
        <w:rPr>
          <w:sz w:val="26"/>
        </w:rPr>
        <w:t>(415) 442-0900 (phone)</w:t>
      </w:r>
    </w:p>
    <w:p>
      <w:pPr>
        <w:pStyle w:val="Normal"/>
        <w:widowControl/>
        <w:spacing w:lineRule="exact" w:line="240"/>
        <w:rPr>
          <w:sz w:val="26"/>
        </w:rPr>
      </w:pPr>
      <w:r>
        <w:rPr>
          <w:sz w:val="26"/>
        </w:rPr>
        <w:t>(415) 442-1010 (fax)</w:t>
      </w:r>
    </w:p>
    <w:p>
      <w:pPr>
        <w:pStyle w:val="Normal"/>
        <w:widowControl/>
        <w:spacing w:lineRule="exact" w:line="240"/>
        <w:rPr>
          <w:sz w:val="26"/>
        </w:rPr>
      </w:pPr>
      <w:r>
        <w:rPr>
          <w:sz w:val="26"/>
        </w:rPr>
      </w:r>
    </w:p>
    <w:p>
      <w:pPr>
        <w:pStyle w:val="Normal"/>
        <w:widowControl/>
        <w:spacing w:lineRule="exact" w:line="240"/>
        <w:rPr>
          <w:sz w:val="26"/>
        </w:rPr>
      </w:pPr>
      <w:r>
        <w:rPr>
          <w:sz w:val="26"/>
        </w:rPr>
        <w:t>Attorneys for Plaintiffs</w:t>
      </w:r>
    </w:p>
    <w:p>
      <w:pPr>
        <w:pStyle w:val="Normal"/>
        <w:widowControl/>
        <w:spacing w:lineRule="exact" w:line="240"/>
        <w:rPr>
          <w:sz w:val="26"/>
        </w:rPr>
      </w:pPr>
      <w:r>
        <w:rPr>
          <w:sz w:val="26"/>
        </w:rPr>
        <w:t>Enron Power Marketing, Inc. and Enron Corp.</w:t>
      </w:r>
    </w:p>
    <w:p>
      <w:pPr>
        <w:pStyle w:val="Normal"/>
        <w:widowControl/>
        <w:spacing w:lineRule="exact" w:line="240"/>
        <w:rPr>
          <w:sz w:val="26"/>
        </w:rPr>
      </w:pPr>
      <w:r>
        <w:rPr>
          <w:sz w:val="26"/>
        </w:rPr>
      </w:r>
    </w:p>
    <w:p>
      <w:pPr>
        <w:pStyle w:val="Normal"/>
        <w:widowControl/>
        <w:spacing w:lineRule="exact" w:line="240"/>
        <w:rPr>
          <w:sz w:val="26"/>
        </w:rPr>
      </w:pPr>
      <w:r>
        <w:rPr>
          <w:sz w:val="26"/>
        </w:rPr>
      </w:r>
    </w:p>
    <w:p>
      <w:pPr>
        <w:pStyle w:val="Normal"/>
        <w:widowControl/>
        <w:tabs>
          <w:tab w:val="clear" w:pos="720"/>
          <w:tab w:val="center" w:pos="4680" w:leader="none"/>
        </w:tabs>
        <w:spacing w:lineRule="exact" w:line="240"/>
        <w:rPr>
          <w:sz w:val="26"/>
        </w:rPr>
      </w:pPr>
      <w:r>
        <w:rPr>
          <w:sz w:val="26"/>
        </w:rPr>
        <w:tab/>
        <w:t>UNITED STATES DISTRICT COURT</w:t>
      </w:r>
    </w:p>
    <w:p>
      <w:pPr>
        <w:pStyle w:val="Normal"/>
        <w:widowControl/>
        <w:spacing w:lineRule="exact" w:line="240"/>
        <w:rPr>
          <w:sz w:val="26"/>
        </w:rPr>
      </w:pPr>
      <w:r>
        <w:rPr>
          <w:sz w:val="26"/>
        </w:rPr>
      </w:r>
    </w:p>
    <w:p>
      <w:pPr>
        <w:pStyle w:val="Normal"/>
        <w:widowControl/>
        <w:tabs>
          <w:tab w:val="clear" w:pos="720"/>
          <w:tab w:val="center" w:pos="4680" w:leader="none"/>
        </w:tabs>
        <w:spacing w:lineRule="exact" w:line="240"/>
        <w:rPr>
          <w:sz w:val="26"/>
        </w:rPr>
      </w:pPr>
      <w:r>
        <w:rPr>
          <w:sz w:val="26"/>
        </w:rPr>
        <w:tab/>
        <w:t>CENTRAL DISTRICT OF CALIFORNIA</w:t>
      </w:r>
    </w:p>
    <w:p>
      <w:pPr>
        <w:pStyle w:val="Normal"/>
        <w:widowControl/>
        <w:spacing w:lineRule="exact" w:line="240"/>
        <w:rPr>
          <w:sz w:val="26"/>
        </w:rPr>
      </w:pPr>
      <w:r>
        <w:rPr>
          <w:sz w:val="26"/>
        </w:rPr>
      </w:r>
    </w:p>
    <w:p>
      <w:pPr>
        <w:sectPr>
          <w:headerReference w:type="default" r:id="rId2"/>
          <w:footerReference w:type="default" r:id="rId3"/>
          <w:type w:val="nextPage"/>
          <w:pgSz w:w="12240" w:h="15840"/>
          <w:pgMar w:left="2160" w:right="720" w:gutter="0" w:header="778" w:top="834" w:footer="576" w:bottom="1152"/>
          <w:pgNumType w:fmt="decimal"/>
          <w:formProt w:val="false"/>
          <w:textDirection w:val="lrTb"/>
          <w:docGrid w:type="default" w:linePitch="360" w:charSpace="0"/>
        </w:sectPr>
      </w:pPr>
    </w:p>
    <w:p>
      <w:pPr>
        <w:pStyle w:val="Normal"/>
        <w:numPr>
          <w:ilvl w:val="0"/>
          <w:numId w:val="0"/>
        </w:numPr>
        <w:rPr>
          <w:sz w:val="26"/>
        </w:rPr>
      </w:pPr>
      <w:r>
        <w:rPr>
          <w:sz w:val="26"/>
        </w:rPr>
      </w:r>
    </w:p>
    <w:p>
      <w:pPr>
        <w:sectPr>
          <w:type w:val="continuous"/>
          <w:pgSz w:w="12240" w:h="15840"/>
          <w:pgMar w:left="2160" w:right="720" w:gutter="0" w:header="778" w:top="834" w:footer="576" w:bottom="1152"/>
          <w:formProt w:val="false"/>
          <w:textDirection w:val="lrTb"/>
          <w:docGrid w:type="default" w:linePitch="360" w:charSpace="0"/>
        </w:sectPr>
      </w:pPr>
    </w:p>
    <w:tbl>
      <w:tblPr>
        <w:tblW w:w="9648" w:type="dxa"/>
        <w:jc w:val="start"/>
        <w:tblInd w:w="0" w:type="dxa"/>
        <w:tblLayout w:type="fixed"/>
        <w:tblCellMar>
          <w:top w:w="0" w:type="dxa"/>
          <w:start w:w="0" w:type="dxa"/>
          <w:bottom w:w="0" w:type="dxa"/>
          <w:end w:w="0" w:type="dxa"/>
        </w:tblCellMar>
      </w:tblPr>
      <w:tblGrid>
        <w:gridCol w:w="4896"/>
        <w:gridCol w:w="144"/>
        <w:gridCol w:w="432"/>
        <w:gridCol w:w="4176"/>
      </w:tblGrid>
      <w:tr>
        <w:trPr>
          <w:trHeight w:val="6210" w:hRule="atLeast"/>
        </w:trPr>
        <w:tc>
          <w:tcPr>
            <w:tcW w:w="4896" w:type="dxa"/>
            <w:tcBorders/>
          </w:tcPr>
          <w:p>
            <w:pPr>
              <w:pStyle w:val="Normal"/>
              <w:widowControl/>
              <w:spacing w:lineRule="exact" w:line="240"/>
              <w:rPr>
                <w:sz w:val="26"/>
              </w:rPr>
            </w:pPr>
            <w:r>
              <w:rPr>
                <w:sz w:val="26"/>
              </w:rPr>
              <w:t>ENRON POWER MARKETING, INC., a Delaware Corporation, and, ENRON CORP., an Oregon Corporation,</w:t>
            </w:r>
          </w:p>
          <w:p>
            <w:pPr>
              <w:pStyle w:val="Normal"/>
              <w:widowControl/>
              <w:spacing w:lineRule="exact" w:line="240"/>
              <w:rPr>
                <w:sz w:val="26"/>
              </w:rPr>
            </w:pPr>
            <w:r>
              <w:rPr>
                <w:sz w:val="26"/>
              </w:rPr>
            </w:r>
          </w:p>
          <w:p>
            <w:pPr>
              <w:pStyle w:val="Normal"/>
              <w:widowControl/>
              <w:spacing w:lineRule="exact" w:line="240"/>
              <w:ind w:firstLine="2160" w:end="0"/>
              <w:rPr>
                <w:sz w:val="26"/>
              </w:rPr>
            </w:pPr>
            <w:r>
              <w:rPr>
                <w:sz w:val="26"/>
              </w:rPr>
              <w:t>Plaintiffs,</w:t>
            </w:r>
          </w:p>
          <w:p>
            <w:pPr>
              <w:pStyle w:val="Normal"/>
              <w:widowControl/>
              <w:spacing w:lineRule="exact" w:line="240"/>
              <w:ind w:firstLine="720" w:end="0"/>
              <w:rPr>
                <w:sz w:val="26"/>
              </w:rPr>
            </w:pPr>
            <w:r>
              <w:rPr>
                <w:sz w:val="26"/>
              </w:rPr>
              <w:t>v.</w:t>
            </w:r>
          </w:p>
          <w:p>
            <w:pPr>
              <w:pStyle w:val="Normal"/>
              <w:widowControl/>
              <w:spacing w:lineRule="exact" w:line="240"/>
              <w:rPr>
                <w:sz w:val="26"/>
              </w:rPr>
            </w:pPr>
            <w:r>
              <w:rPr>
                <w:sz w:val="26"/>
              </w:rPr>
            </w:r>
          </w:p>
          <w:p>
            <w:pPr>
              <w:pStyle w:val="Normal"/>
              <w:widowControl/>
              <w:spacing w:lineRule="exact" w:line="240"/>
              <w:rPr>
                <w:sz w:val="26"/>
              </w:rPr>
            </w:pPr>
            <w:r>
              <w:rPr>
                <w:sz w:val="26"/>
              </w:rPr>
              <w:t>CALIFORNIA POWER EXCHANGE CORPORATION, a California Corporation,</w:t>
            </w:r>
          </w:p>
          <w:p>
            <w:pPr>
              <w:pStyle w:val="Normal"/>
              <w:widowControl/>
              <w:spacing w:lineRule="exact" w:line="240"/>
              <w:rPr>
                <w:sz w:val="26"/>
              </w:rPr>
            </w:pPr>
            <w:r>
              <w:rPr>
                <w:sz w:val="26"/>
              </w:rPr>
            </w:r>
          </w:p>
          <w:p>
            <w:pPr>
              <w:pStyle w:val="Normal"/>
              <w:widowControl/>
              <w:spacing w:lineRule="exact" w:line="240"/>
              <w:ind w:firstLine="2160" w:end="0"/>
              <w:rPr>
                <w:sz w:val="26"/>
              </w:rPr>
            </w:pPr>
            <w:r>
              <w:rPr>
                <w:sz w:val="26"/>
              </w:rPr>
              <w:t>Defendant.</w:t>
            </w:r>
          </w:p>
          <w:p>
            <w:pPr>
              <w:pStyle w:val="Normal"/>
              <w:widowControl/>
              <w:spacing w:lineRule="exact" w:line="240"/>
              <w:rPr>
                <w:sz w:val="26"/>
                <w:u w:val="single"/>
              </w:rPr>
            </w:pPr>
            <w:r>
              <w:rPr>
                <w:sz w:val="26"/>
                <w:u w:val="single"/>
              </w:rPr>
              <w:t>                                                                          </w:t>
            </w:r>
          </w:p>
          <w:p>
            <w:pPr>
              <w:pStyle w:val="Normal"/>
              <w:widowControl/>
              <w:spacing w:lineRule="exact" w:line="240"/>
              <w:rPr>
                <w:sz w:val="26"/>
                <w:u w:val="single"/>
              </w:rPr>
            </w:pPr>
            <w:r>
              <w:rPr>
                <w:sz w:val="26"/>
                <w:u w:val="single"/>
              </w:rPr>
            </w:r>
          </w:p>
          <w:p>
            <w:pPr>
              <w:pStyle w:val="Normal"/>
              <w:widowControl/>
              <w:spacing w:lineRule="exact" w:line="240"/>
              <w:rPr>
                <w:sz w:val="26"/>
              </w:rPr>
            </w:pPr>
            <w:r>
              <w:rPr>
                <w:sz w:val="26"/>
              </w:rPr>
              <w:t>AVISTA ENERGY, INC.,</w:t>
            </w:r>
          </w:p>
          <w:p>
            <w:pPr>
              <w:pStyle w:val="Normal"/>
              <w:widowControl/>
              <w:spacing w:lineRule="exact" w:line="240"/>
              <w:rPr>
                <w:sz w:val="26"/>
              </w:rPr>
            </w:pPr>
            <w:r>
              <w:rPr>
                <w:sz w:val="26"/>
              </w:rPr>
            </w:r>
          </w:p>
          <w:p>
            <w:pPr>
              <w:pStyle w:val="Normal"/>
              <w:widowControl/>
              <w:spacing w:lineRule="exact" w:line="240"/>
              <w:ind w:firstLine="2160" w:end="0"/>
              <w:rPr>
                <w:sz w:val="26"/>
              </w:rPr>
            </w:pPr>
            <w:r>
              <w:rPr>
                <w:sz w:val="26"/>
              </w:rPr>
              <w:t>Plaintiff,</w:t>
            </w:r>
          </w:p>
          <w:p>
            <w:pPr>
              <w:pStyle w:val="Normal"/>
              <w:widowControl/>
              <w:spacing w:lineRule="exact" w:line="240"/>
              <w:ind w:firstLine="720" w:end="0"/>
              <w:rPr>
                <w:sz w:val="26"/>
              </w:rPr>
            </w:pPr>
            <w:r>
              <w:rPr>
                <w:sz w:val="26"/>
              </w:rPr>
              <w:t>v.</w:t>
            </w:r>
          </w:p>
          <w:p>
            <w:pPr>
              <w:pStyle w:val="Normal"/>
              <w:widowControl/>
              <w:spacing w:lineRule="exact" w:line="240"/>
              <w:rPr>
                <w:sz w:val="26"/>
              </w:rPr>
            </w:pPr>
            <w:r>
              <w:rPr>
                <w:sz w:val="26"/>
              </w:rPr>
            </w:r>
          </w:p>
          <w:p>
            <w:pPr>
              <w:pStyle w:val="Normal"/>
              <w:widowControl/>
              <w:spacing w:lineRule="exact" w:line="240"/>
              <w:rPr>
                <w:sz w:val="26"/>
              </w:rPr>
            </w:pPr>
            <w:r>
              <w:rPr>
                <w:sz w:val="26"/>
              </w:rPr>
              <w:t>CALIFORNIA POWER EXCHANGE CORPORATION,</w:t>
            </w:r>
          </w:p>
          <w:p>
            <w:pPr>
              <w:pStyle w:val="Normal"/>
              <w:widowControl/>
              <w:spacing w:lineRule="exact" w:line="240"/>
              <w:rPr>
                <w:sz w:val="26"/>
              </w:rPr>
            </w:pPr>
            <w:r>
              <w:rPr>
                <w:sz w:val="26"/>
              </w:rPr>
            </w:r>
          </w:p>
          <w:p>
            <w:pPr>
              <w:pStyle w:val="Normal"/>
              <w:widowControl/>
              <w:spacing w:lineRule="exact" w:line="240"/>
              <w:ind w:firstLine="2160" w:end="0"/>
              <w:rPr>
                <w:sz w:val="26"/>
              </w:rPr>
            </w:pPr>
            <w:r>
              <w:rPr>
                <w:sz w:val="26"/>
              </w:rPr>
              <w:t>Defendant.</w:t>
            </w:r>
          </w:p>
          <w:p>
            <w:pPr>
              <w:pStyle w:val="Normal"/>
              <w:widowControl/>
              <w:tabs>
                <w:tab w:val="clear" w:pos="720"/>
                <w:tab w:val="right" w:pos="4896" w:leader="none"/>
              </w:tabs>
              <w:spacing w:lineRule="exact" w:line="240"/>
              <w:rPr>
                <w:sz w:val="26"/>
              </w:rPr>
            </w:pPr>
            <w:r>
              <w:rPr>
                <w:sz w:val="26"/>
                <w:u w:val="single"/>
              </w:rPr>
              <w:tab/>
            </w:r>
          </w:p>
        </w:tc>
        <w:tc>
          <w:tcPr>
            <w:tcW w:w="144" w:type="dxa"/>
            <w:tcBorders/>
          </w:tcPr>
          <w:p>
            <w:pPr>
              <w:pStyle w:val="Normal"/>
              <w:widowControl/>
              <w:spacing w:lineRule="exact" w:line="240"/>
              <w:rPr>
                <w:sz w:val="26"/>
              </w:rPr>
            </w:pPr>
            <w:r>
              <w:rPr>
                <w:sz w:val="26"/>
              </w:rPr>
              <w:t>)))))))))))</w:t>
            </w:r>
          </w:p>
          <w:p>
            <w:pPr>
              <w:pStyle w:val="Normal"/>
              <w:widowControl/>
              <w:spacing w:lineRule="exact" w:line="240"/>
              <w:rPr>
                <w:sz w:val="26"/>
              </w:rPr>
            </w:pPr>
            <w:r>
              <w:rPr>
                <w:sz w:val="26"/>
              </w:rPr>
              <w:t>)</w:t>
            </w:r>
          </w:p>
          <w:p>
            <w:pPr>
              <w:pStyle w:val="Normal"/>
              <w:widowControl/>
              <w:spacing w:lineRule="exact" w:line="240"/>
              <w:rPr>
                <w:sz w:val="26"/>
              </w:rPr>
            </w:pPr>
            <w:r>
              <w:rPr>
                <w:sz w:val="26"/>
              </w:rPr>
              <w:t>)</w:t>
            </w:r>
          </w:p>
          <w:p>
            <w:pPr>
              <w:pStyle w:val="Normal"/>
              <w:widowControl/>
              <w:spacing w:lineRule="exact" w:line="240"/>
              <w:rPr>
                <w:sz w:val="26"/>
              </w:rPr>
            </w:pPr>
            <w:r>
              <w:rPr>
                <w:sz w:val="26"/>
              </w:rPr>
              <w:t>))))))))))</w:t>
            </w:r>
          </w:p>
          <w:p>
            <w:pPr>
              <w:pStyle w:val="Normal"/>
              <w:widowControl/>
              <w:spacing w:lineRule="exact" w:line="240"/>
              <w:rPr>
                <w:sz w:val="26"/>
              </w:rPr>
            </w:pPr>
            <w:r>
              <w:rPr>
                <w:sz w:val="26"/>
              </w:rPr>
            </w:r>
          </w:p>
        </w:tc>
        <w:tc>
          <w:tcPr>
            <w:tcW w:w="432" w:type="dxa"/>
            <w:tcBorders/>
          </w:tcPr>
          <w:p>
            <w:pPr>
              <w:pStyle w:val="Normal"/>
              <w:snapToGrid w:val="false"/>
              <w:rPr>
                <w:sz w:val="26"/>
              </w:rPr>
            </w:pPr>
            <w:r>
              <w:rPr>
                <w:sz w:val="26"/>
              </w:rPr>
            </w:r>
          </w:p>
        </w:tc>
        <w:tc>
          <w:tcPr>
            <w:tcW w:w="4176" w:type="dxa"/>
            <w:tcBorders/>
          </w:tcPr>
          <w:p>
            <w:pPr>
              <w:pStyle w:val="Normal"/>
              <w:widowControl/>
              <w:spacing w:lineRule="exact" w:line="240"/>
              <w:rPr>
                <w:sz w:val="26"/>
              </w:rPr>
            </w:pPr>
            <w:r>
              <w:rPr>
                <w:sz w:val="26"/>
              </w:rPr>
              <w:t>Case Nos. 01-00901 CM (Rzx);</w:t>
            </w:r>
          </w:p>
          <w:p>
            <w:pPr>
              <w:pStyle w:val="Normal"/>
              <w:widowControl/>
              <w:spacing w:lineRule="exact" w:line="240"/>
              <w:rPr>
                <w:sz w:val="26"/>
              </w:rPr>
            </w:pPr>
            <w:r>
              <w:rPr>
                <w:sz w:val="26"/>
              </w:rPr>
              <w:t>01-1244 CM</w:t>
            </w:r>
          </w:p>
          <w:p>
            <w:pPr>
              <w:pStyle w:val="Normal"/>
              <w:widowControl/>
              <w:spacing w:lineRule="exact" w:line="240"/>
              <w:rPr>
                <w:sz w:val="26"/>
              </w:rPr>
            </w:pPr>
            <w:r>
              <w:rPr>
                <w:sz w:val="26"/>
              </w:rPr>
            </w:r>
          </w:p>
          <w:p>
            <w:pPr>
              <w:pStyle w:val="Normal"/>
              <w:widowControl/>
              <w:spacing w:lineRule="exact" w:line="240"/>
              <w:rPr>
                <w:sz w:val="26"/>
              </w:rPr>
            </w:pPr>
            <w:r>
              <w:rPr>
                <w:sz w:val="26"/>
              </w:rPr>
            </w:r>
          </w:p>
          <w:p>
            <w:pPr>
              <w:pStyle w:val="Normal"/>
              <w:widowControl/>
              <w:spacing w:lineRule="exact" w:line="240"/>
              <w:rPr>
                <w:sz w:val="26"/>
              </w:rPr>
            </w:pPr>
            <w:r>
              <w:rPr>
                <w:sz w:val="26"/>
              </w:rPr>
              <w:t xml:space="preserve">[PROPOSED] ORDER GRANTING STIPULATED INJUNCTION </w:t>
            </w:r>
          </w:p>
          <w:p>
            <w:pPr>
              <w:pStyle w:val="Normal"/>
              <w:widowControl/>
              <w:spacing w:lineRule="exact" w:line="240"/>
              <w:rPr>
                <w:sz w:val="26"/>
              </w:rPr>
            </w:pPr>
            <w:r>
              <w:rPr>
                <w:sz w:val="26"/>
              </w:rPr>
            </w:r>
          </w:p>
          <w:p>
            <w:pPr>
              <w:pStyle w:val="Normal"/>
              <w:widowControl/>
              <w:spacing w:lineRule="exact" w:line="240"/>
              <w:ind w:hanging="1440" w:end="0"/>
              <w:rPr>
                <w:sz w:val="26"/>
              </w:rPr>
            </w:pPr>
            <w:r>
              <w:rPr>
                <w:sz w:val="26"/>
              </w:rPr>
            </w:r>
          </w:p>
        </w:tc>
      </w:tr>
    </w:tbl>
    <w:p>
      <w:pPr>
        <w:pStyle w:val="Normal"/>
        <w:widowControl/>
        <w:tabs>
          <w:tab w:val="clear" w:pos="720"/>
          <w:tab w:val="left" w:pos="-1440" w:leader="none"/>
        </w:tabs>
        <w:spacing w:lineRule="exact" w:line="480"/>
        <w:ind w:firstLine="1440" w:end="0"/>
        <w:rPr>
          <w:sz w:val="26"/>
        </w:rPr>
      </w:pPr>
      <w:r>
        <w:rPr>
          <w:sz w:val="26"/>
        </w:rPr>
        <w:t>WHEREAS on February 9, 2001, the Court issued a Temporary Restraining Order requiring Defendant to refrain from certain actions and place certain funds into an escrow account, and setting a hearing on an Order to Show Cause re Preliminary Injunction for February 15, 2001;</w:t>
      </w:r>
    </w:p>
    <w:p>
      <w:pPr>
        <w:pStyle w:val="Normal"/>
        <w:widowControl/>
        <w:tabs>
          <w:tab w:val="clear" w:pos="720"/>
          <w:tab w:val="left" w:pos="-1440" w:leader="none"/>
        </w:tabs>
        <w:spacing w:lineRule="exact" w:line="480"/>
        <w:ind w:firstLine="1440" w:end="0"/>
        <w:rPr>
          <w:sz w:val="26"/>
        </w:rPr>
      </w:pPr>
      <w:r>
        <w:rPr>
          <w:sz w:val="26"/>
        </w:rPr>
        <w:t>WHEREAS on February 8, 2001, Plaintiffs and other participants in Defendant's markets filed an emergency Complaint initiating a proceeding before the Federal Energy Regulatory Commission ("FERC") to address the issue of Defendant's "charge-backs" under the FERC authorized PX Tariff, to market participants due to the recent defaults by Southern California Edison (“SCE”) and Pacific Gas &amp; Electric (“PG&amp;E”) (the "FERC Proceeding");</w:t>
      </w:r>
    </w:p>
    <w:p>
      <w:pPr>
        <w:pStyle w:val="Normal"/>
        <w:widowControl/>
        <w:tabs>
          <w:tab w:val="clear" w:pos="720"/>
          <w:tab w:val="left" w:pos="-1440" w:leader="none"/>
        </w:tabs>
        <w:spacing w:lineRule="exact" w:line="480"/>
        <w:ind w:firstLine="1440" w:end="0"/>
        <w:rPr>
          <w:sz w:val="26"/>
        </w:rPr>
      </w:pPr>
      <w:r>
        <w:rPr>
          <w:sz w:val="26"/>
        </w:rPr>
        <w:t>WHEREAS on February 1, 2001, Plaintiff Enron Power Marketing, Inc. ("EPMI") filed a proceeding with the American Arbitration Association pursuant to the FERC PX Tariff to address issues raised by Defendant's effort to require EPMI to execute certain Indemnity Agreements (the "AAA Proceeding");</w:t>
      </w:r>
    </w:p>
    <w:p>
      <w:pPr>
        <w:pStyle w:val="Normal"/>
        <w:widowControl/>
        <w:tabs>
          <w:tab w:val="clear" w:pos="720"/>
          <w:tab w:val="left" w:pos="-1440" w:leader="none"/>
        </w:tabs>
        <w:spacing w:lineRule="exact" w:line="480"/>
        <w:ind w:firstLine="1440" w:end="0"/>
        <w:rPr>
          <w:sz w:val="26"/>
        </w:rPr>
      </w:pPr>
      <w:r>
        <w:rPr>
          <w:sz w:val="26"/>
        </w:rPr>
        <w:t>IT IS HEREBY STIPULATED AND AGREED by the parties hereto, subject to Order of the Court, as follows:</w:t>
      </w:r>
    </w:p>
    <w:p>
      <w:pPr>
        <w:pStyle w:val="Normal"/>
        <w:widowControl/>
        <w:tabs>
          <w:tab w:val="clear" w:pos="720"/>
          <w:tab w:val="left" w:pos="-1440" w:leader="none"/>
        </w:tabs>
        <w:spacing w:lineRule="exact" w:line="480"/>
        <w:ind w:firstLine="1440" w:end="0"/>
        <w:rPr>
          <w:sz w:val="26"/>
        </w:rPr>
      </w:pPr>
      <w:r>
        <w:rPr>
          <w:sz w:val="26"/>
        </w:rPr>
        <w:t>1.</w:t>
        <w:tab/>
        <w:t>FERC has jurisdiction under The Federal Power Act to resolve the issue of the propriety of the "charge backs" being issued by Defendant California Power Exchange Corporation ("CalPX") to its market participants;</w:t>
      </w:r>
    </w:p>
    <w:p>
      <w:pPr>
        <w:sectPr>
          <w:type w:val="continuous"/>
          <w:pgSz w:w="12240" w:h="15840"/>
          <w:pgMar w:left="2160" w:right="720" w:gutter="0" w:header="778" w:top="834" w:footer="576" w:bottom="1152"/>
          <w:formProt w:val="false"/>
          <w:textDirection w:val="lrTb"/>
          <w:docGrid w:type="default" w:linePitch="360" w:charSpace="0"/>
        </w:sectPr>
      </w:pPr>
    </w:p>
    <w:p>
      <w:pPr>
        <w:pStyle w:val="Normal"/>
        <w:widowControl/>
        <w:tabs>
          <w:tab w:val="clear" w:pos="720"/>
          <w:tab w:val="left" w:pos="-1440" w:leader="none"/>
        </w:tabs>
        <w:spacing w:lineRule="exact" w:line="480"/>
        <w:ind w:firstLine="1440" w:end="0"/>
        <w:rPr/>
      </w:pPr>
      <w:r>
        <w:rPr>
          <w:sz w:val="26"/>
        </w:rPr>
        <w:t>2.</w:t>
        <w:tab/>
        <w:t xml:space="preserve">In order to preserve the status quo as to all market participants with respect to CalPX's issuance of "charge backs" under the PX Tariff until further Order of this Court after FERC’s adjudication of the propriety of CalPX's "charge backs," CalPX and its officers, directors, principals, agents, servants, employees, representatives, successors, assigns, and affiliates, will refrain from taking the following actions </w:t>
      </w:r>
      <w:r>
        <w:rPr>
          <w:b/>
          <w:i/>
          <w:sz w:val="26"/>
        </w:rPr>
        <w:t>based on "charge backs,"</w:t>
      </w:r>
      <w:r>
        <w:rPr>
          <w:sz w:val="26"/>
        </w:rPr>
        <w:t xml:space="preserve"> including (a) issuing invoices for charge backs; (b) wasting, transferring, assigning, or drawing on any collateral or security posted by market participants, or otherwise taking actions to collect funds from market participants for the purpose of paying charge backs, except as discussed immediately below; </w:t>
      </w:r>
    </w:p>
    <w:p>
      <w:pPr>
        <w:pStyle w:val="BodyText"/>
        <w:rPr/>
      </w:pPr>
      <w:r>
        <w:rPr/>
        <w:t>and/or (c) requiring the posting of any additional collateral or security, based on "charge back" assessments.  Nothing herein shall preclude</w:t>
      </w:r>
      <w:r>
        <w:rPr>
          <w:sz w:val="24"/>
        </w:rPr>
        <w:t xml:space="preserve"> CalPX from continuing to engage in its normal invoicing process for the Core (Day-Ahead, Day-Of, and Real-Time) and CTS markets as they come due, but CalPX will not be calculating the default charge back on those invoices.  No payments will be made to creditors of the CalPX clearinghouse functions during the adjudication of the FERC Proceeding and until this stipulated injunction is dissolved.  CalPX will expect payments to be made by participants pursuant to the invoices that will continue to be issued.  From the amounts received and while the Complaint before FERC is pending, the CalPX will continue to draw upon the cash clearing account for the CalPX administrative fee and pay the Independent System Operator’s Grid Management Charge.  If participants fail to maintain their collateral requirement while the FERC Proceeding is pending and the stipulated injunction is in effect, CalPX will also draw on any expiring collateral and/or take any other necessary actions to preserve the collateral.  Such collateral will be held and not applied to any charge back obligations while the FERC Proceeding is pending.</w:t>
      </w:r>
    </w:p>
    <w:p>
      <w:pPr>
        <w:pStyle w:val="BodyText"/>
        <w:rPr/>
      </w:pPr>
      <w:r>
        <w:rPr>
          <w:sz w:val="24"/>
        </w:rPr>
        <w:tab/>
        <w:tab/>
      </w:r>
      <w:r>
        <w:rPr/>
        <w:t>3.</w:t>
        <w:tab/>
        <w:t>As soon as FERC renders a decision in the FERC Proceeding, any party to this stipulated injunction can apply to the Court for dissolution of this stipulated injunction.  If FERC has not issued a decision on the merits of the FERC Proceeding within 60-days any party to this stipulated injunction can apply to the Court for further review of this stipulated injunction.</w:t>
      </w:r>
    </w:p>
    <w:p>
      <w:pPr>
        <w:pStyle w:val="BodyTextIndent"/>
        <w:rPr/>
      </w:pPr>
      <w:r>
        <w:rPr/>
        <w:t>4.</w:t>
        <w:tab/>
        <w:t>The $36.5 million drawn by Defendant CalPX from Enron's letters of credit on or about January 31, 2001, and any funds drawn from Enron's letters of credit by CalPX between that date and the date hereof, shall be placed by CalPX in an escrow account controlled by a third-party bank as soon as possible, and shall remain in such escrow account until further Order of this Court after adjudication of the merits of the dispute between Enron and CalPX as to whether Enron is required to execute Indemnity Agreements. Enron will pay escrow fees incurred by CalPX in connection with the escrow of these funds.</w:t>
      </w:r>
    </w:p>
    <w:p>
      <w:pPr>
        <w:pStyle w:val="Normal"/>
        <w:widowControl/>
        <w:tabs>
          <w:tab w:val="clear" w:pos="720"/>
          <w:tab w:val="left" w:pos="-1440" w:leader="none"/>
        </w:tabs>
        <w:spacing w:lineRule="exact" w:line="480"/>
        <w:ind w:firstLine="1440" w:end="0"/>
        <w:rPr>
          <w:sz w:val="26"/>
        </w:rPr>
      </w:pPr>
      <w:r>
        <w:rPr>
          <w:sz w:val="26"/>
        </w:rPr>
        <w:t>5.</w:t>
        <w:tab/>
        <w:t>Until further Order of this Court after adjudication of the merits of the dispute between Enron and CalPX as to whether Enron is required to execute Indemnity Agreements, CalPX and its officers, directors, principals, agents, servants, employees, representatives, successors, assigns, and affiliates, will refrain from taking the following actions based on the failure of Plaintiff EPMI, Plaintiff Enron Corp. and/or their subsidiaries (collectively, "Enron") to execute the Indemnity Agreements required by CalPX: wasting, transferring, assigning, or drawing on any collateral or security posted by Enron in Defendant’s markets, or otherwise taking actions to collect funds from Enron related to its failure to sign Indemnity Agreements.</w:t>
      </w:r>
    </w:p>
    <w:p>
      <w:pPr>
        <w:pStyle w:val="Normal"/>
        <w:widowControl/>
        <w:tabs>
          <w:tab w:val="clear" w:pos="720"/>
          <w:tab w:val="left" w:pos="-1440" w:leader="none"/>
        </w:tabs>
        <w:spacing w:lineRule="exact" w:line="480"/>
        <w:ind w:firstLine="1440" w:end="0"/>
        <w:rPr>
          <w:sz w:val="26"/>
        </w:rPr>
      </w:pPr>
      <w:r>
        <w:rPr>
          <w:sz w:val="26"/>
        </w:rPr>
        <w:t>6.</w:t>
        <w:tab/>
        <w:t>Nothing herein shall be construed to prevent Plaintiffs or CalPX from proceeding against Southern California Edison or Pacific Gas &amp; Electric based on any defaults.</w:t>
      </w:r>
    </w:p>
    <w:p>
      <w:pPr>
        <w:pStyle w:val="Normal"/>
        <w:widowControl/>
        <w:tabs>
          <w:tab w:val="clear" w:pos="720"/>
          <w:tab w:val="left" w:pos="-1440" w:leader="none"/>
        </w:tabs>
        <w:spacing w:lineRule="exact" w:line="480"/>
        <w:rPr>
          <w:sz w:val="26"/>
        </w:rPr>
      </w:pPr>
      <w:r>
        <w:rPr>
          <w:sz w:val="26"/>
        </w:rPr>
      </w:r>
    </w:p>
    <w:p>
      <w:pPr>
        <w:pStyle w:val="Normal"/>
        <w:widowControl/>
        <w:tabs>
          <w:tab w:val="clear" w:pos="720"/>
          <w:tab w:val="left" w:pos="-1440" w:leader="none"/>
        </w:tabs>
        <w:spacing w:lineRule="exact" w:line="480"/>
        <w:rPr>
          <w:sz w:val="26"/>
        </w:rPr>
      </w:pPr>
      <w:r>
        <w:rPr>
          <w:sz w:val="26"/>
        </w:rPr>
        <w:t>II.</w:t>
        <w:tab/>
      </w:r>
      <w:r>
        <w:rPr>
          <w:sz w:val="26"/>
          <w:u w:val="single"/>
        </w:rPr>
        <w:t>Temporary Restraining Order and Order to Show Cause Dissolved</w:t>
      </w:r>
      <w:bookmarkStart w:id="0" w:name="QuickMark"/>
      <w:bookmarkEnd w:id="0"/>
    </w:p>
    <w:p>
      <w:pPr>
        <w:pStyle w:val="Normal"/>
        <w:widowControl/>
        <w:tabs>
          <w:tab w:val="clear" w:pos="720"/>
          <w:tab w:val="left" w:pos="-1440" w:leader="none"/>
        </w:tabs>
        <w:spacing w:lineRule="exact" w:line="480"/>
        <w:rPr>
          <w:sz w:val="26"/>
        </w:rPr>
      </w:pPr>
      <w:r>
        <w:rPr>
          <w:sz w:val="26"/>
        </w:rPr>
      </w:r>
    </w:p>
    <w:p>
      <w:pPr>
        <w:pStyle w:val="Normal"/>
        <w:widowControl/>
        <w:tabs>
          <w:tab w:val="clear" w:pos="720"/>
          <w:tab w:val="left" w:pos="-1440" w:leader="none"/>
        </w:tabs>
        <w:spacing w:lineRule="exact" w:line="480"/>
        <w:ind w:firstLine="1440" w:end="0"/>
        <w:rPr>
          <w:sz w:val="26"/>
        </w:rPr>
      </w:pPr>
      <w:r>
        <w:rPr>
          <w:sz w:val="26"/>
        </w:rPr>
        <w:t>In light of the foregoing Stipulated Injunction, IT IS FURTHER ORDERED that the Temporary Restraining Order and Order to Show Cause issued by the Court are hereby dissolved, and the February 15, 2001 hearing in this action is taken off calendar.</w:t>
      </w:r>
    </w:p>
    <w:p>
      <w:pPr>
        <w:pStyle w:val="Normal"/>
        <w:widowControl/>
        <w:tabs>
          <w:tab w:val="clear" w:pos="720"/>
          <w:tab w:val="left" w:pos="-1440" w:leader="none"/>
        </w:tabs>
        <w:spacing w:lineRule="exact" w:line="480"/>
        <w:rPr>
          <w:sz w:val="26"/>
        </w:rPr>
      </w:pPr>
      <w:r>
        <w:rPr>
          <w:sz w:val="26"/>
        </w:rPr>
      </w:r>
    </w:p>
    <w:p>
      <w:pPr>
        <w:pStyle w:val="Normal"/>
        <w:widowControl/>
        <w:tabs>
          <w:tab w:val="clear" w:pos="720"/>
          <w:tab w:val="left" w:pos="-1440" w:leader="none"/>
        </w:tabs>
        <w:spacing w:lineRule="exact" w:line="480"/>
        <w:rPr>
          <w:b/>
          <w:sz w:val="26"/>
          <w:u w:val="single"/>
        </w:rPr>
      </w:pPr>
      <w:r>
        <w:rPr>
          <w:sz w:val="26"/>
        </w:rPr>
        <w:t>III.</w:t>
        <w:tab/>
      </w:r>
      <w:r>
        <w:rPr>
          <w:sz w:val="26"/>
          <w:u w:val="single"/>
        </w:rPr>
        <w:t>Stay of Action</w:t>
      </w:r>
    </w:p>
    <w:p>
      <w:pPr>
        <w:pStyle w:val="Normal"/>
        <w:widowControl/>
        <w:tabs>
          <w:tab w:val="clear" w:pos="720"/>
          <w:tab w:val="left" w:pos="-1440" w:leader="none"/>
        </w:tabs>
        <w:spacing w:lineRule="exact" w:line="480"/>
        <w:ind w:firstLine="1440" w:end="0"/>
        <w:rPr>
          <w:b/>
          <w:sz w:val="26"/>
        </w:rPr>
      </w:pPr>
      <w:r>
        <w:rPr>
          <w:sz w:val="26"/>
        </w:rPr>
        <w:t>In light of the foregoing Stipulated Injunction, IT IS FURTHER ORDERED that these actions are stayed pending further Order of this Court.</w:t>
      </w:r>
    </w:p>
    <w:p>
      <w:pPr>
        <w:pStyle w:val="Normal"/>
        <w:widowControl/>
        <w:tabs>
          <w:tab w:val="clear" w:pos="720"/>
          <w:tab w:val="left" w:pos="-1440" w:leader="none"/>
        </w:tabs>
        <w:spacing w:lineRule="exact" w:line="480"/>
        <w:rPr>
          <w:b/>
          <w:sz w:val="26"/>
        </w:rPr>
      </w:pPr>
      <w:r>
        <w:rPr>
          <w:b/>
          <w:sz w:val="26"/>
        </w:rPr>
      </w:r>
    </w:p>
    <w:p>
      <w:pPr>
        <w:pStyle w:val="Normal"/>
        <w:widowControl/>
        <w:tabs>
          <w:tab w:val="clear" w:pos="720"/>
          <w:tab w:val="left" w:pos="-1440" w:leader="none"/>
        </w:tabs>
        <w:spacing w:lineRule="exact" w:line="480"/>
        <w:rPr>
          <w:b/>
          <w:sz w:val="26"/>
          <w:u w:val="single"/>
        </w:rPr>
      </w:pPr>
      <w:r>
        <w:rPr>
          <w:sz w:val="26"/>
        </w:rPr>
        <w:t>IV.</w:t>
        <w:tab/>
      </w:r>
      <w:r>
        <w:rPr>
          <w:sz w:val="26"/>
          <w:u w:val="single"/>
        </w:rPr>
        <w:t>Modification</w:t>
      </w:r>
    </w:p>
    <w:p>
      <w:pPr>
        <w:pStyle w:val="Normal"/>
        <w:widowControl/>
        <w:tabs>
          <w:tab w:val="clear" w:pos="720"/>
          <w:tab w:val="left" w:pos="-1440" w:leader="none"/>
        </w:tabs>
        <w:spacing w:lineRule="exact" w:line="480"/>
        <w:ind w:firstLine="1440" w:end="0"/>
        <w:rPr>
          <w:b/>
          <w:sz w:val="26"/>
          <w:u w:val="single"/>
        </w:rPr>
      </w:pPr>
      <w:r>
        <w:rPr>
          <w:sz w:val="26"/>
        </w:rPr>
        <w:t>This Order shall be subject to modification upon a showing of good cause.</w:t>
      </w:r>
    </w:p>
    <w:p>
      <w:pPr>
        <w:pStyle w:val="Normal"/>
        <w:widowControl/>
        <w:tabs>
          <w:tab w:val="clear" w:pos="720"/>
          <w:tab w:val="left" w:pos="-1440" w:leader="none"/>
        </w:tabs>
        <w:spacing w:lineRule="exact" w:line="480"/>
        <w:rPr>
          <w:b/>
          <w:sz w:val="26"/>
        </w:rPr>
      </w:pPr>
      <w:r>
        <w:rPr>
          <w:sz w:val="26"/>
        </w:rPr>
        <w:t>IT IS SO ORDERED.</w:t>
      </w:r>
    </w:p>
    <w:p>
      <w:pPr>
        <w:pStyle w:val="Normal"/>
        <w:widowControl/>
        <w:tabs>
          <w:tab w:val="clear" w:pos="720"/>
          <w:tab w:val="left" w:pos="-1440" w:leader="none"/>
        </w:tabs>
        <w:spacing w:lineRule="exact" w:line="480"/>
        <w:rPr>
          <w:sz w:val="26"/>
        </w:rPr>
      </w:pPr>
      <w:r>
        <w:rPr>
          <w:sz w:val="26"/>
        </w:rPr>
        <w:t>Dated: February __, 2001</w:t>
      </w:r>
    </w:p>
    <w:p>
      <w:pPr>
        <w:pStyle w:val="Normal"/>
        <w:widowControl/>
        <w:tabs>
          <w:tab w:val="clear" w:pos="720"/>
          <w:tab w:val="left" w:pos="-1440" w:leader="none"/>
        </w:tabs>
        <w:spacing w:lineRule="exact" w:line="480"/>
        <w:rPr>
          <w:sz w:val="26"/>
        </w:rPr>
      </w:pPr>
      <w:r>
        <w:rPr>
          <w:sz w:val="26"/>
        </w:rPr>
      </w:r>
    </w:p>
    <w:p>
      <w:pPr>
        <w:pStyle w:val="Normal"/>
        <w:widowControl/>
        <w:tabs>
          <w:tab w:val="clear" w:pos="720"/>
          <w:tab w:val="left" w:pos="-1440" w:leader="none"/>
        </w:tabs>
        <w:spacing w:lineRule="exact" w:line="240"/>
        <w:ind w:firstLine="5040" w:end="0"/>
        <w:rPr>
          <w:sz w:val="26"/>
        </w:rPr>
      </w:pPr>
      <w:r>
        <w:rPr>
          <w:sz w:val="26"/>
        </w:rPr>
        <w:t>_____________________</w:t>
      </w:r>
    </w:p>
    <w:p>
      <w:pPr>
        <w:pStyle w:val="Normal"/>
        <w:widowControl/>
        <w:tabs>
          <w:tab w:val="clear" w:pos="720"/>
          <w:tab w:val="left" w:pos="-1440" w:leader="none"/>
        </w:tabs>
        <w:spacing w:lineRule="exact" w:line="240"/>
        <w:ind w:firstLine="5040" w:end="0"/>
        <w:rPr>
          <w:sz w:val="26"/>
        </w:rPr>
      </w:pPr>
      <w:r>
        <w:rPr>
          <w:sz w:val="26"/>
        </w:rPr>
        <w:t>The Hon. Carlos Moreno</w:t>
      </w:r>
    </w:p>
    <w:p>
      <w:pPr>
        <w:pStyle w:val="Normal"/>
        <w:widowControl/>
        <w:tabs>
          <w:tab w:val="clear" w:pos="720"/>
          <w:tab w:val="left" w:pos="-1440" w:leader="none"/>
        </w:tabs>
        <w:spacing w:lineRule="exact" w:line="240"/>
        <w:ind w:firstLine="5040" w:end="0"/>
        <w:rPr>
          <w:sz w:val="26"/>
        </w:rPr>
      </w:pPr>
      <w:r>
        <w:rPr>
          <w:sz w:val="26"/>
        </w:rPr>
        <w:t>United States District Court Judge</w:t>
      </w:r>
    </w:p>
    <w:p>
      <w:pPr>
        <w:pStyle w:val="Normal"/>
        <w:widowControl/>
        <w:tabs>
          <w:tab w:val="clear" w:pos="720"/>
          <w:tab w:val="left" w:pos="-1440" w:leader="none"/>
        </w:tabs>
        <w:spacing w:lineRule="exact" w:line="240"/>
        <w:rPr>
          <w:sz w:val="26"/>
        </w:rPr>
      </w:pPr>
      <w:r>
        <w:rPr>
          <w:sz w:val="26"/>
        </w:rPr>
      </w:r>
      <w:bookmarkStart w:id="1" w:name="SignatureStart"/>
      <w:bookmarkStart w:id="2" w:name="SignatureStart"/>
      <w:bookmarkEnd w:id="2"/>
    </w:p>
    <w:p>
      <w:pPr>
        <w:pStyle w:val="Normal"/>
        <w:widowControl/>
        <w:tabs>
          <w:tab w:val="clear" w:pos="720"/>
          <w:tab w:val="left" w:pos="-1440" w:leader="none"/>
        </w:tabs>
        <w:spacing w:lineRule="exact" w:line="240"/>
        <w:rPr>
          <w:sz w:val="26"/>
        </w:rPr>
      </w:pPr>
      <w:r>
        <w:rPr>
          <w:sz w:val="26"/>
        </w:rPr>
      </w:r>
    </w:p>
    <w:p>
      <w:pPr>
        <w:pStyle w:val="Normal"/>
        <w:widowControl/>
        <w:tabs>
          <w:tab w:val="clear" w:pos="720"/>
          <w:tab w:val="left" w:pos="-1440" w:leader="none"/>
        </w:tabs>
        <w:spacing w:lineRule="exact" w:line="240"/>
        <w:rPr>
          <w:sz w:val="26"/>
        </w:rPr>
      </w:pPr>
      <w:r>
        <w:rPr>
          <w:sz w:val="26"/>
        </w:rPr>
      </w:r>
    </w:p>
    <w:p>
      <w:pPr>
        <w:pStyle w:val="Normal"/>
        <w:widowControl/>
        <w:tabs>
          <w:tab w:val="clear" w:pos="720"/>
          <w:tab w:val="left" w:pos="-1440" w:leader="none"/>
        </w:tabs>
        <w:spacing w:lineRule="exact" w:line="240"/>
        <w:rPr>
          <w:sz w:val="26"/>
        </w:rPr>
      </w:pPr>
      <w:r>
        <w:rPr>
          <w:sz w:val="26"/>
        </w:rPr>
      </w:r>
    </w:p>
    <w:p>
      <w:pPr>
        <w:pStyle w:val="Normal"/>
        <w:widowControl/>
        <w:tabs>
          <w:tab w:val="clear" w:pos="720"/>
          <w:tab w:val="left" w:pos="-1440" w:leader="none"/>
        </w:tabs>
        <w:spacing w:lineRule="exact" w:line="240"/>
        <w:rPr>
          <w:sz w:val="26"/>
        </w:rPr>
      </w:pPr>
      <w:r>
        <w:rPr>
          <w:sz w:val="26"/>
        </w:rPr>
      </w:r>
    </w:p>
    <w:p>
      <w:pPr>
        <w:pStyle w:val="Normal"/>
        <w:widowControl/>
        <w:tabs>
          <w:tab w:val="clear" w:pos="720"/>
          <w:tab w:val="left" w:pos="-1440" w:leader="none"/>
        </w:tabs>
        <w:spacing w:lineRule="exact" w:line="240"/>
        <w:rPr>
          <w:sz w:val="26"/>
        </w:rPr>
      </w:pPr>
      <w:r>
        <w:rPr>
          <w:sz w:val="26"/>
        </w:rPr>
      </w:r>
    </w:p>
    <w:p>
      <w:pPr>
        <w:pStyle w:val="Normal"/>
        <w:widowControl/>
        <w:tabs>
          <w:tab w:val="clear" w:pos="720"/>
          <w:tab w:val="left" w:pos="-1440" w:leader="none"/>
        </w:tabs>
        <w:spacing w:lineRule="exact" w:line="240"/>
        <w:rPr>
          <w:sz w:val="26"/>
        </w:rPr>
      </w:pPr>
      <w:r>
        <w:rPr>
          <w:sz w:val="26"/>
        </w:rPr>
      </w:r>
    </w:p>
    <w:p>
      <w:pPr>
        <w:pStyle w:val="Normal"/>
        <w:widowControl/>
        <w:tabs>
          <w:tab w:val="clear" w:pos="720"/>
          <w:tab w:val="left" w:pos="-1440" w:leader="none"/>
        </w:tabs>
        <w:spacing w:lineRule="exact" w:line="240"/>
        <w:rPr>
          <w:sz w:val="26"/>
        </w:rPr>
      </w:pPr>
      <w:r>
        <w:rPr>
          <w:sz w:val="26"/>
        </w:rPr>
        <w:t>Respectfully Submitted:</w:t>
      </w:r>
    </w:p>
    <w:p>
      <w:pPr>
        <w:pStyle w:val="Normal"/>
        <w:widowControl/>
        <w:tabs>
          <w:tab w:val="clear" w:pos="720"/>
          <w:tab w:val="left" w:pos="-1440" w:leader="none"/>
        </w:tabs>
        <w:spacing w:lineRule="exact" w:line="240"/>
        <w:rPr>
          <w:sz w:val="26"/>
        </w:rPr>
      </w:pPr>
      <w:r>
        <w:rPr>
          <w:sz w:val="26"/>
        </w:rPr>
      </w:r>
    </w:p>
    <w:p>
      <w:pPr>
        <w:pStyle w:val="Normal"/>
        <w:widowControl/>
        <w:tabs>
          <w:tab w:val="clear" w:pos="720"/>
          <w:tab w:val="left" w:pos="-1440" w:leader="none"/>
        </w:tabs>
        <w:spacing w:lineRule="exact" w:line="240"/>
        <w:rPr>
          <w:sz w:val="26"/>
        </w:rPr>
      </w:pPr>
      <w:r>
        <w:rPr>
          <w:sz w:val="26"/>
        </w:rPr>
        <w:t xml:space="preserve">QUINN EMANUEL URQUHART </w:t>
      </w:r>
    </w:p>
    <w:p>
      <w:pPr>
        <w:pStyle w:val="Normal"/>
        <w:widowControl/>
        <w:tabs>
          <w:tab w:val="clear" w:pos="720"/>
          <w:tab w:val="left" w:pos="-1440" w:leader="none"/>
        </w:tabs>
        <w:spacing w:lineRule="exact" w:line="240"/>
        <w:rPr>
          <w:sz w:val="26"/>
        </w:rPr>
      </w:pPr>
      <w:r>
        <w:rPr>
          <w:sz w:val="26"/>
        </w:rPr>
        <w:t>OLIVER &amp; HEDGES, LLP</w:t>
      </w:r>
    </w:p>
    <w:p>
      <w:pPr>
        <w:pStyle w:val="Normal"/>
        <w:widowControl/>
        <w:tabs>
          <w:tab w:val="clear" w:pos="720"/>
          <w:tab w:val="left" w:pos="-1440" w:leader="none"/>
        </w:tabs>
        <w:spacing w:lineRule="exact" w:line="240"/>
        <w:rPr>
          <w:sz w:val="26"/>
        </w:rPr>
      </w:pPr>
      <w:r>
        <w:rPr>
          <w:sz w:val="26"/>
        </w:rPr>
      </w:r>
    </w:p>
    <w:p>
      <w:pPr>
        <w:pStyle w:val="Normal"/>
        <w:widowControl/>
        <w:tabs>
          <w:tab w:val="clear" w:pos="720"/>
          <w:tab w:val="left" w:pos="-1440" w:leader="none"/>
        </w:tabs>
        <w:spacing w:lineRule="exact" w:line="240"/>
        <w:rPr>
          <w:sz w:val="26"/>
        </w:rPr>
      </w:pPr>
      <w:r>
        <w:rPr>
          <w:sz w:val="26"/>
        </w:rPr>
        <w:t>By________________________________</w:t>
      </w:r>
    </w:p>
    <w:p>
      <w:pPr>
        <w:pStyle w:val="Normal"/>
        <w:widowControl/>
        <w:tabs>
          <w:tab w:val="clear" w:pos="720"/>
          <w:tab w:val="left" w:pos="-1440" w:leader="none"/>
        </w:tabs>
        <w:spacing w:lineRule="exact" w:line="240"/>
        <w:rPr>
          <w:sz w:val="26"/>
        </w:rPr>
      </w:pPr>
      <w:r>
        <w:rPr>
          <w:sz w:val="26"/>
        </w:rPr>
        <w:t xml:space="preserve">     </w:t>
      </w:r>
      <w:r>
        <w:rPr>
          <w:sz w:val="26"/>
        </w:rPr>
        <w:t>A. William Urquhart</w:t>
      </w:r>
    </w:p>
    <w:p>
      <w:pPr>
        <w:pStyle w:val="Normal"/>
        <w:widowControl/>
        <w:tabs>
          <w:tab w:val="clear" w:pos="720"/>
          <w:tab w:val="left" w:pos="-1440" w:leader="none"/>
        </w:tabs>
        <w:spacing w:lineRule="exact" w:line="240"/>
        <w:rPr>
          <w:sz w:val="26"/>
        </w:rPr>
      </w:pPr>
      <w:r>
        <w:rPr>
          <w:sz w:val="26"/>
        </w:rPr>
        <w:t xml:space="preserve">     </w:t>
      </w:r>
      <w:r>
        <w:rPr>
          <w:sz w:val="26"/>
        </w:rPr>
        <w:t>Harry A. Olivar, Jr.</w:t>
      </w:r>
    </w:p>
    <w:p>
      <w:pPr>
        <w:pStyle w:val="Normal"/>
        <w:widowControl/>
        <w:tabs>
          <w:tab w:val="clear" w:pos="720"/>
          <w:tab w:val="left" w:pos="-1440" w:leader="none"/>
        </w:tabs>
        <w:spacing w:lineRule="exact" w:line="240"/>
        <w:rPr>
          <w:sz w:val="26"/>
        </w:rPr>
      </w:pPr>
      <w:r>
        <w:rPr>
          <w:sz w:val="26"/>
        </w:rPr>
        <w:t xml:space="preserve">     </w:t>
      </w:r>
      <w:r>
        <w:rPr>
          <w:sz w:val="26"/>
        </w:rPr>
        <w:t>Attorneys for Enron Plaintiffs</w:t>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t>BROBECK, PHLEGER &amp; HARRISON, L.L.P.</w:t>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t>By________________________________</w:t>
      </w:r>
    </w:p>
    <w:p>
      <w:pPr>
        <w:pStyle w:val="Normal"/>
        <w:widowControl/>
        <w:tabs>
          <w:tab w:val="clear" w:pos="720"/>
          <w:tab w:val="left" w:pos="-2160" w:leader="none"/>
        </w:tabs>
        <w:spacing w:lineRule="exact" w:line="240"/>
        <w:rPr>
          <w:sz w:val="26"/>
        </w:rPr>
      </w:pPr>
      <w:r>
        <w:rPr>
          <w:sz w:val="26"/>
        </w:rPr>
        <w:t xml:space="preserve">     </w:t>
      </w:r>
      <w:r>
        <w:rPr>
          <w:sz w:val="26"/>
        </w:rPr>
        <w:t>Gary S. Fergus</w:t>
      </w:r>
    </w:p>
    <w:p>
      <w:pPr>
        <w:pStyle w:val="Normal"/>
        <w:widowControl/>
        <w:tabs>
          <w:tab w:val="clear" w:pos="720"/>
          <w:tab w:val="left" w:pos="-2160" w:leader="none"/>
        </w:tabs>
        <w:spacing w:lineRule="exact" w:line="240"/>
        <w:rPr>
          <w:sz w:val="26"/>
        </w:rPr>
      </w:pPr>
      <w:r>
        <w:rPr>
          <w:sz w:val="26"/>
        </w:rPr>
        <w:t xml:space="preserve">     </w:t>
      </w:r>
      <w:r>
        <w:rPr>
          <w:sz w:val="26"/>
        </w:rPr>
        <w:t>Attorneys for Enron Plaintiffs</w:t>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t>MORRISON &amp; FOERSTER LPP</w:t>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t>By________________________________</w:t>
      </w:r>
    </w:p>
    <w:p>
      <w:pPr>
        <w:pStyle w:val="Normal"/>
        <w:widowControl/>
        <w:tabs>
          <w:tab w:val="clear" w:pos="720"/>
          <w:tab w:val="left" w:pos="-2160" w:leader="none"/>
        </w:tabs>
        <w:spacing w:lineRule="exact" w:line="240"/>
        <w:rPr>
          <w:sz w:val="26"/>
        </w:rPr>
      </w:pPr>
      <w:r>
        <w:rPr>
          <w:sz w:val="26"/>
        </w:rPr>
        <w:t xml:space="preserve">     </w:t>
      </w:r>
      <w:r>
        <w:rPr>
          <w:sz w:val="26"/>
        </w:rPr>
        <w:t>Gordon Erspamer</w:t>
      </w:r>
    </w:p>
    <w:p>
      <w:pPr>
        <w:pStyle w:val="Normal"/>
        <w:widowControl/>
        <w:tabs>
          <w:tab w:val="clear" w:pos="720"/>
          <w:tab w:val="left" w:pos="-2160" w:leader="none"/>
        </w:tabs>
        <w:spacing w:lineRule="exact" w:line="240"/>
        <w:rPr>
          <w:sz w:val="26"/>
        </w:rPr>
      </w:pPr>
      <w:r>
        <w:rPr>
          <w:sz w:val="26"/>
        </w:rPr>
        <w:t xml:space="preserve">     </w:t>
      </w:r>
      <w:r>
        <w:rPr>
          <w:sz w:val="26"/>
        </w:rPr>
        <w:t>Diane Pritchard</w:t>
      </w:r>
    </w:p>
    <w:p>
      <w:pPr>
        <w:pStyle w:val="Normal"/>
        <w:widowControl/>
        <w:tabs>
          <w:tab w:val="clear" w:pos="720"/>
          <w:tab w:val="left" w:pos="-2160" w:leader="none"/>
        </w:tabs>
        <w:spacing w:lineRule="exact" w:line="240"/>
        <w:rPr>
          <w:sz w:val="26"/>
        </w:rPr>
      </w:pPr>
      <w:r>
        <w:rPr>
          <w:sz w:val="26"/>
        </w:rPr>
        <w:t xml:space="preserve">     </w:t>
      </w:r>
      <w:r>
        <w:rPr>
          <w:sz w:val="26"/>
        </w:rPr>
        <w:t>Attorneys for Plaintiffs</w:t>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t>WHITWELL &amp; EMHOFF, LLP</w:t>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r>
    </w:p>
    <w:p>
      <w:pPr>
        <w:pStyle w:val="Normal"/>
        <w:widowControl/>
        <w:tabs>
          <w:tab w:val="clear" w:pos="720"/>
          <w:tab w:val="left" w:pos="-2160" w:leader="none"/>
        </w:tabs>
        <w:spacing w:lineRule="exact" w:line="240"/>
        <w:rPr>
          <w:sz w:val="26"/>
        </w:rPr>
      </w:pPr>
      <w:r>
        <w:rPr>
          <w:sz w:val="26"/>
        </w:rPr>
        <w:t>By________________________________</w:t>
      </w:r>
    </w:p>
    <w:p>
      <w:pPr>
        <w:pStyle w:val="Normal"/>
        <w:widowControl/>
        <w:tabs>
          <w:tab w:val="clear" w:pos="720"/>
          <w:tab w:val="left" w:pos="-2160" w:leader="none"/>
        </w:tabs>
        <w:spacing w:lineRule="exact" w:line="240"/>
        <w:rPr>
          <w:sz w:val="26"/>
        </w:rPr>
      </w:pPr>
      <w:r>
        <w:rPr>
          <w:sz w:val="26"/>
        </w:rPr>
        <w:t xml:space="preserve">     </w:t>
      </w:r>
      <w:r>
        <w:rPr>
          <w:sz w:val="26"/>
        </w:rPr>
        <w:t>Benjamin Whitwell</w:t>
      </w:r>
    </w:p>
    <w:p>
      <w:pPr>
        <w:pStyle w:val="Normal"/>
        <w:widowControl/>
        <w:tabs>
          <w:tab w:val="clear" w:pos="720"/>
          <w:tab w:val="left" w:pos="-2160" w:leader="none"/>
        </w:tabs>
        <w:spacing w:lineRule="exact" w:line="240"/>
        <w:rPr>
          <w:sz w:val="26"/>
        </w:rPr>
      </w:pPr>
      <w:r>
        <w:rPr>
          <w:sz w:val="26"/>
        </w:rPr>
        <w:t xml:space="preserve">     </w:t>
      </w:r>
      <w:r>
        <w:rPr>
          <w:sz w:val="26"/>
        </w:rPr>
        <w:t>Jeffrey Tanzer</w:t>
      </w:r>
    </w:p>
    <w:p>
      <w:pPr>
        <w:pStyle w:val="Normal"/>
        <w:widowControl/>
        <w:tabs>
          <w:tab w:val="clear" w:pos="720"/>
          <w:tab w:val="left" w:pos="-2160" w:leader="none"/>
        </w:tabs>
        <w:spacing w:lineRule="exact" w:line="240"/>
        <w:rPr>
          <w:sz w:val="26"/>
        </w:rPr>
      </w:pPr>
      <w:r>
        <w:rPr>
          <w:sz w:val="26"/>
        </w:rPr>
        <w:t xml:space="preserve">     </w:t>
      </w:r>
      <w:r>
        <w:rPr>
          <w:sz w:val="26"/>
        </w:rPr>
        <w:t>Attorneys for Defendant</w:t>
      </w:r>
    </w:p>
    <w:sectPr>
      <w:type w:val="continuous"/>
      <w:pgSz w:w="12240" w:h="15840"/>
      <w:pgMar w:left="2160" w:right="720" w:gutter="0" w:header="778" w:top="834" w:footer="576" w:bottom="115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pPr>
    <w:r>
      <mc:AlternateContent>
        <mc:Choice Requires="wps">
          <w:drawing>
            <wp:anchor behindDoc="1" distT="0" distB="0" distL="114935" distR="114935" simplePos="0" locked="0" layoutInCell="0" allowOverlap="1" relativeHeight="26">
              <wp:simplePos x="0" y="0"/>
              <wp:positionH relativeFrom="page">
                <wp:posOffset>1371600</wp:posOffset>
              </wp:positionH>
              <wp:positionV relativeFrom="paragraph">
                <wp:posOffset>635</wp:posOffset>
              </wp:positionV>
              <wp:extent cx="5943600" cy="12065"/>
              <wp:effectExtent l="0" t="635" r="0" b="0"/>
              <wp:wrapNone/>
              <wp:docPr id="1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8pt;margin-top:0pt;width:467.95pt;height:0.9pt;mso-wrap-style:none;v-text-anchor:middle;mso-position-horizontal-relative:page">
              <v:fill o:detectmouseclick="t" type="solid" color2="white"/>
              <v:stroke color="#3465a4" joinstyle="round" endcap="flat"/>
              <w10:wrap type="none"/>
            </v:rect>
          </w:pict>
        </mc:Fallback>
      </mc:AlternateContent>
    </w:r>
    <w:r>
      <w:rPr>
        <w:sz w:val="19"/>
      </w:rPr>
      <w:t>04405/0341727.1</w:t>
      <w:tab/>
      <w:t>[PROPOSED] ORDER GRANTING STIPULATED INJUNCTION</w:t>
    </w:r>
    <w:r>
      <w:fldChar w:fldCharType="begin"/>
    </w:r>
    <w:r>
      <w:rPr>
        <w:sz w:val="19"/>
      </w:rPr>
      <w:instrText xml:space="preserve">ADVANCE \u14</w:instrText>
    </w:r>
    <w:r>
      <w:rPr>
        <w:sz w:val="19"/>
      </w:rPr>
    </w:r>
    <w:r>
      <w:rPr>
        <w:sz w:val="19"/>
      </w:rPr>
      <w:fldChar w:fldCharType="separate"/>
    </w:r>
    <w:r>
      <w:rPr>
        <w:sz w:val="19"/>
      </w:rPr>
    </w:r>
    <w:r/>
    <w:r>
      <w:rPr>
        <w:sz w:val="19"/>
      </w:rPr>
      <w:fldChar w:fldCharType="end"/>
    </w:r>
    <w:r>
      <w:rPr>
        <w:sz w:val="19"/>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6">
              <wp:simplePos x="0" y="0"/>
              <wp:positionH relativeFrom="column">
                <wp:align>left</wp:align>
              </wp:positionH>
              <wp:positionV relativeFrom="line">
                <wp:posOffset>635</wp:posOffset>
              </wp:positionV>
              <wp:extent cx="5943600" cy="8534400"/>
              <wp:effectExtent l="0" t="0" r="0" b="0"/>
              <wp:wrapNone/>
              <wp:docPr id="1" name="Frame1"/>
              <a:graphic xmlns:a="http://schemas.openxmlformats.org/drawingml/2006/main">
                <a:graphicData uri="http://schemas.microsoft.com/office/word/2010/wordprocessingShape">
                  <wps:wsp>
                    <wps:cNvSpPr txBox="1"/>
                    <wps:spPr>
                      <a:xfrm>
                        <a:off x="0" y="0"/>
                        <a:ext cx="5943600" cy="8534400"/>
                      </a:xfrm>
                      <a:prstGeom prst="rect"/>
                      <a:solidFill>
                        <a:srgbClr val="FFFFFF"/>
                      </a:solidFill>
                    </wps:spPr>
                    <wps:txbx>
                      <w:txbxContent>
                        <w:p>
                          <w:pPr>
                            <w:pStyle w:val="Normal"/>
                            <w:tabs>
                              <w:tab w:val="clear" w:pos="720"/>
                              <w:tab w:val="right" w:pos="-216" w:leader="none"/>
                            </w:tabs>
                            <w:spacing w:lineRule="exact" w:line="480"/>
                            <w:ind w:start="-807" w:end="0"/>
                            <w:rPr>
                              <w:sz w:val="24"/>
                            </w:rPr>
                          </w:pPr>
                          <w:r>
                            <w:rPr>
                              <w:sz w:val="24"/>
                            </w:rPr>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txbxContent>
                    </wps:txbx>
                    <wps:bodyPr anchor="t" lIns="0" tIns="0" rIns="0" bIns="0">
                      <a:noAutofit/>
                    </wps:bodyPr>
                  </wps:wsp>
                </a:graphicData>
              </a:graphic>
            </wp:anchor>
          </w:drawing>
        </mc:Choice>
        <mc:Fallback>
          <w:pict>
            <v:rect style="position:absolute;rotation:-0;width:468pt;height:672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right" w:pos="-216" w:leader="none"/>
                      </w:tabs>
                      <w:spacing w:lineRule="exact" w:line="480"/>
                      <w:ind w:start="-807" w:end="0"/>
                      <w:rPr>
                        <w:sz w:val="24"/>
                      </w:rPr>
                    </w:pPr>
                    <w:r>
                      <w:rPr>
                        <w:sz w:val="24"/>
                      </w:rPr>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txbxContent>
              </v:textbox>
              <w10:wrap type="none"/>
            </v:rect>
          </w:pict>
        </mc:Fallback>
      </mc:AlternateContent>
    </w:r>
    <w:r>
      <mc:AlternateContent>
        <mc:Choice Requires="wps">
          <w:drawing>
            <wp:anchor behindDoc="1" distT="0" distB="0" distL="114935" distR="114935" simplePos="0" locked="0" layoutInCell="0" allowOverlap="1" relativeHeight="11">
              <wp:simplePos x="0" y="0"/>
              <wp:positionH relativeFrom="page">
                <wp:posOffset>1280160</wp:posOffset>
              </wp:positionH>
              <wp:positionV relativeFrom="page">
                <wp:posOffset>274320</wp:posOffset>
              </wp:positionV>
              <wp:extent cx="8890" cy="9509760"/>
              <wp:effectExtent l="0" t="0" r="0" b="0"/>
              <wp:wrapNone/>
              <wp:docPr id="8"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16">
              <wp:simplePos x="0" y="0"/>
              <wp:positionH relativeFrom="page">
                <wp:posOffset>1307465</wp:posOffset>
              </wp:positionH>
              <wp:positionV relativeFrom="page">
                <wp:posOffset>274320</wp:posOffset>
              </wp:positionV>
              <wp:extent cx="8890" cy="9509760"/>
              <wp:effectExtent l="0" t="0" r="0" b="0"/>
              <wp:wrapNone/>
              <wp:docPr id="9"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21">
              <wp:simplePos x="0" y="0"/>
              <wp:positionH relativeFrom="page">
                <wp:posOffset>7498080</wp:posOffset>
              </wp:positionH>
              <wp:positionV relativeFrom="page">
                <wp:posOffset>274320</wp:posOffset>
              </wp:positionV>
              <wp:extent cx="8890" cy="9509760"/>
              <wp:effectExtent l="0" t="0" r="0" b="0"/>
              <wp:wrapNone/>
              <wp:docPr id="10"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spacing w:lineRule="exact" w:line="480"/>
    </w:pPr>
    <w:rPr>
      <w:sz w:val="26"/>
      <w:szCs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autoSpaceDE w:val="true"/>
      <w:spacing w:before="0" w:after="60"/>
    </w:pPr>
    <w:rPr>
      <w:rFonts w:ascii="Arial" w:hAnsi="Arial" w:cs="Arial"/>
      <w:szCs w:val="20"/>
    </w:rPr>
  </w:style>
  <w:style w:type="paragraph" w:styleId="BodyTextIndent">
    <w:name w:val="Body Text Indent"/>
    <w:basedOn w:val="Normal"/>
    <w:pPr>
      <w:widowControl/>
      <w:tabs>
        <w:tab w:val="clear" w:pos="720"/>
        <w:tab w:val="left" w:pos="-1440" w:leader="none"/>
      </w:tabs>
      <w:spacing w:lineRule="exact" w:line="480"/>
      <w:ind w:firstLine="1440" w:start="0" w:end="0"/>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2001-02-12T21:57:00Z</dcterms:created>
  <dc:creator>ck</dc:creator>
  <dc:description/>
  <dc:language>en-CA</dc:language>
  <cp:lastModifiedBy>BWhitwell</cp:lastModifiedBy>
  <cp:lastPrinted>2001-02-13T12:07:00Z</cp:lastPrinted>
  <dcterms:modified xsi:type="dcterms:W3CDTF">2001-02-13T17:05:00Z</dcterms:modified>
  <cp:revision>12</cp:revision>
  <dc:subject/>
  <dc:title>QUINN EMANUEL URQUHART OLIVER &amp; HEDGES, LLP</dc:title>
</cp:coreProperties>
</file>