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3"/>
        <w:spacing w:before="120" w:after="0"/>
        <w:rPr>
          <w:rFonts w:cs="Times New Roman"/>
        </w:rPr>
      </w:pPr>
      <w:r>
        <w:rPr>
          <w:rFonts w:cs="Times New Roman"/>
        </w:rPr>
      </w:r>
    </w:p>
    <w:p>
      <w:pPr>
        <w:pStyle w:val="BodyText3"/>
        <w:spacing w:before="120" w:after="120"/>
        <w:jc w:val="both"/>
        <w:rPr/>
      </w:pPr>
      <w:r>
        <w:rPr/>
        <w:t>The executive management of Enron Americas developed and approved these Spend and Approval Guidelines.  These guidelines will be consistent by job title throughout the organization and can not be changed on an individual basis.</w:t>
      </w:r>
    </w:p>
    <w:tbl>
      <w:tblPr>
        <w:tblW w:w="8820" w:type="dxa"/>
        <w:jc w:val="center"/>
        <w:tblInd w:w="0" w:type="dxa"/>
        <w:tblLayout w:type="fixed"/>
        <w:tblCellMar>
          <w:top w:w="0" w:type="dxa"/>
          <w:start w:w="108" w:type="dxa"/>
          <w:bottom w:w="0" w:type="dxa"/>
          <w:end w:w="108" w:type="dxa"/>
        </w:tblCellMar>
      </w:tblPr>
      <w:tblGrid>
        <w:gridCol w:w="6120"/>
        <w:gridCol w:w="2700"/>
      </w:tblGrid>
      <w:tr>
        <w:trPr>
          <w:trHeight w:val="360" w:hRule="atLeast"/>
        </w:trPr>
        <w:tc>
          <w:tcPr>
            <w:tcW w:w="6120"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before="20" w:after="20"/>
              <w:jc w:val="center"/>
              <w:rPr>
                <w:rFonts w:cs="Arial"/>
                <w:b/>
                <w:bCs/>
              </w:rPr>
            </w:pPr>
            <w:r>
              <w:rPr>
                <w:rFonts w:cs="Arial"/>
                <w:b/>
                <w:bCs/>
              </w:rPr>
              <w:t>Job Title</w:t>
            </w:r>
          </w:p>
        </w:tc>
        <w:tc>
          <w:tcPr>
            <w:tcW w:w="2700"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spacing w:before="20" w:after="20"/>
              <w:jc w:val="center"/>
              <w:rPr>
                <w:rFonts w:cs="Arial"/>
                <w:b/>
                <w:bCs/>
              </w:rPr>
            </w:pPr>
            <w:r>
              <w:rPr>
                <w:rFonts w:cs="Arial"/>
                <w:b/>
                <w:bCs/>
              </w:rPr>
              <w:t>Spend / Approval Limit</w:t>
            </w:r>
          </w:p>
        </w:tc>
      </w:tr>
      <w:tr>
        <w:trPr>
          <w:trHeight w:val="360" w:hRule="atLeast"/>
        </w:trPr>
        <w:tc>
          <w:tcPr>
            <w:tcW w:w="6120" w:type="dxa"/>
            <w:tcBorders>
              <w:top w:val="single" w:sz="4" w:space="0" w:color="000000"/>
              <w:start w:val="single" w:sz="4" w:space="0" w:color="000000"/>
              <w:bottom w:val="single" w:sz="4" w:space="0" w:color="000000"/>
              <w:end w:val="single" w:sz="4" w:space="0" w:color="000000"/>
            </w:tcBorders>
            <w:vAlign w:val="center"/>
          </w:tcPr>
          <w:p>
            <w:pPr>
              <w:pStyle w:val="Normal"/>
              <w:spacing w:before="40" w:after="40"/>
              <w:rPr>
                <w:rFonts w:cs="Arial"/>
              </w:rPr>
            </w:pPr>
            <w:r>
              <w:rPr>
                <w:rFonts w:cs="Arial"/>
              </w:rPr>
              <w:t>Contractor, Specialist, Senior Specialist, Clerk, Staff</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Header"/>
              <w:tabs>
                <w:tab w:val="clear" w:pos="4536"/>
                <w:tab w:val="clear" w:pos="9072"/>
              </w:tabs>
              <w:spacing w:before="40" w:after="40"/>
              <w:rPr>
                <w:rFonts w:cs="Arial"/>
              </w:rPr>
            </w:pPr>
            <w:r>
              <w:rPr>
                <w:rFonts w:cs="Arial"/>
              </w:rPr>
              <w:t>$0</w:t>
            </w:r>
          </w:p>
        </w:tc>
      </w:tr>
      <w:tr>
        <w:trPr>
          <w:trHeight w:val="360" w:hRule="atLeast"/>
        </w:trPr>
        <w:tc>
          <w:tcPr>
            <w:tcW w:w="6120" w:type="dxa"/>
            <w:tcBorders>
              <w:top w:val="single" w:sz="4" w:space="0" w:color="000000"/>
              <w:start w:val="single" w:sz="4" w:space="0" w:color="000000"/>
              <w:bottom w:val="single" w:sz="4" w:space="0" w:color="000000"/>
              <w:end w:val="single" w:sz="4" w:space="0" w:color="000000"/>
            </w:tcBorders>
            <w:vAlign w:val="center"/>
          </w:tcPr>
          <w:p>
            <w:pPr>
              <w:pStyle w:val="Normal"/>
              <w:spacing w:before="40" w:after="40"/>
              <w:rPr>
                <w:rFonts w:cs="Arial"/>
              </w:rPr>
            </w:pPr>
            <w:r>
              <w:rPr>
                <w:rFonts w:cs="Arial"/>
              </w:rPr>
              <w:t>Senior Administrative Assistant</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spacing w:before="40" w:after="40"/>
              <w:rPr>
                <w:rFonts w:cs="Arial"/>
              </w:rPr>
            </w:pPr>
            <w:r>
              <w:rPr>
                <w:rFonts w:cs="Arial"/>
              </w:rPr>
              <w:t>$250</w:t>
            </w:r>
          </w:p>
        </w:tc>
      </w:tr>
      <w:tr>
        <w:trPr>
          <w:trHeight w:val="360" w:hRule="atLeast"/>
        </w:trPr>
        <w:tc>
          <w:tcPr>
            <w:tcW w:w="6120" w:type="dxa"/>
            <w:tcBorders>
              <w:top w:val="single" w:sz="4" w:space="0" w:color="000000"/>
              <w:start w:val="single" w:sz="4" w:space="0" w:color="000000"/>
              <w:bottom w:val="single" w:sz="4" w:space="0" w:color="000000"/>
              <w:end w:val="single" w:sz="4" w:space="0" w:color="000000"/>
            </w:tcBorders>
            <w:vAlign w:val="center"/>
          </w:tcPr>
          <w:p>
            <w:pPr>
              <w:pStyle w:val="Normal"/>
              <w:spacing w:before="40" w:after="40"/>
              <w:rPr>
                <w:rFonts w:cs="Arial"/>
              </w:rPr>
            </w:pPr>
            <w:r>
              <w:rPr>
                <w:rFonts w:cs="Arial"/>
              </w:rPr>
              <w:t>Executive Assistant, Executive Coordinator</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spacing w:before="40" w:after="40"/>
              <w:rPr>
                <w:rFonts w:cs="Arial"/>
              </w:rPr>
            </w:pPr>
            <w:r>
              <w:rPr>
                <w:rFonts w:cs="Arial"/>
              </w:rPr>
              <w:t>$500</w:t>
            </w:r>
          </w:p>
        </w:tc>
      </w:tr>
      <w:tr>
        <w:trPr>
          <w:trHeight w:val="360" w:hRule="atLeast"/>
        </w:trPr>
        <w:tc>
          <w:tcPr>
            <w:tcW w:w="6120" w:type="dxa"/>
            <w:tcBorders>
              <w:top w:val="single" w:sz="4" w:space="0" w:color="000000"/>
              <w:start w:val="single" w:sz="4" w:space="0" w:color="000000"/>
              <w:bottom w:val="single" w:sz="4" w:space="0" w:color="000000"/>
              <w:end w:val="single" w:sz="4" w:space="0" w:color="000000"/>
            </w:tcBorders>
            <w:vAlign w:val="center"/>
          </w:tcPr>
          <w:p>
            <w:pPr>
              <w:pStyle w:val="Normal"/>
              <w:spacing w:before="40" w:after="40"/>
              <w:rPr>
                <w:rFonts w:cs="Arial"/>
              </w:rPr>
            </w:pPr>
            <w:r>
              <w:rPr>
                <w:rFonts w:cs="Arial"/>
              </w:rPr>
              <w:t>Manager</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spacing w:before="40" w:after="40"/>
              <w:rPr>
                <w:rFonts w:cs="Arial"/>
              </w:rPr>
            </w:pPr>
            <w:r>
              <w:rPr>
                <w:rFonts w:cs="Arial"/>
              </w:rPr>
              <w:t>$0</w:t>
            </w:r>
          </w:p>
        </w:tc>
      </w:tr>
      <w:tr>
        <w:trPr>
          <w:trHeight w:val="360" w:hRule="atLeast"/>
        </w:trPr>
        <w:tc>
          <w:tcPr>
            <w:tcW w:w="6120" w:type="dxa"/>
            <w:tcBorders>
              <w:top w:val="single" w:sz="4" w:space="0" w:color="000000"/>
              <w:start w:val="single" w:sz="4" w:space="0" w:color="000000"/>
              <w:bottom w:val="single" w:sz="4" w:space="0" w:color="000000"/>
              <w:end w:val="single" w:sz="4" w:space="0" w:color="000000"/>
            </w:tcBorders>
            <w:vAlign w:val="center"/>
          </w:tcPr>
          <w:p>
            <w:pPr>
              <w:pStyle w:val="Normal"/>
              <w:spacing w:before="40" w:after="40"/>
              <w:rPr>
                <w:rFonts w:cs="Arial"/>
              </w:rPr>
            </w:pPr>
            <w:r>
              <w:rPr>
                <w:rFonts w:cs="Arial"/>
              </w:rPr>
              <w:t>Director</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spacing w:before="40" w:after="40"/>
              <w:rPr>
                <w:rFonts w:cs="Arial"/>
              </w:rPr>
            </w:pPr>
            <w:r>
              <w:rPr>
                <w:rFonts w:cs="Arial"/>
              </w:rPr>
              <w:t>$1,000</w:t>
            </w:r>
          </w:p>
        </w:tc>
      </w:tr>
      <w:tr>
        <w:trPr>
          <w:trHeight w:val="360" w:hRule="atLeast"/>
        </w:trPr>
        <w:tc>
          <w:tcPr>
            <w:tcW w:w="6120" w:type="dxa"/>
            <w:tcBorders>
              <w:top w:val="single" w:sz="4" w:space="0" w:color="000000"/>
              <w:start w:val="single" w:sz="4" w:space="0" w:color="000000"/>
              <w:bottom w:val="single" w:sz="4" w:space="0" w:color="000000"/>
              <w:end w:val="single" w:sz="4" w:space="0" w:color="000000"/>
            </w:tcBorders>
            <w:vAlign w:val="center"/>
          </w:tcPr>
          <w:p>
            <w:pPr>
              <w:pStyle w:val="Normal"/>
              <w:spacing w:before="40" w:after="40"/>
              <w:rPr>
                <w:rFonts w:cs="Arial"/>
              </w:rPr>
            </w:pPr>
            <w:r>
              <w:rPr>
                <w:rFonts w:cs="Arial"/>
              </w:rPr>
              <w:t>Senior Director</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spacing w:before="40" w:after="40"/>
              <w:rPr>
                <w:rFonts w:cs="Arial"/>
              </w:rPr>
            </w:pPr>
            <w:r>
              <w:rPr>
                <w:rFonts w:cs="Arial"/>
              </w:rPr>
              <w:t>$1,000</w:t>
            </w:r>
          </w:p>
        </w:tc>
      </w:tr>
      <w:tr>
        <w:trPr>
          <w:trHeight w:val="360" w:hRule="atLeast"/>
        </w:trPr>
        <w:tc>
          <w:tcPr>
            <w:tcW w:w="6120" w:type="dxa"/>
            <w:tcBorders>
              <w:top w:val="single" w:sz="4" w:space="0" w:color="000000"/>
              <w:start w:val="single" w:sz="4" w:space="0" w:color="000000"/>
              <w:bottom w:val="single" w:sz="4" w:space="0" w:color="000000"/>
              <w:end w:val="single" w:sz="4" w:space="0" w:color="000000"/>
            </w:tcBorders>
            <w:vAlign w:val="center"/>
          </w:tcPr>
          <w:p>
            <w:pPr>
              <w:pStyle w:val="Normal"/>
              <w:spacing w:before="40" w:after="40"/>
              <w:rPr>
                <w:rFonts w:cs="Arial"/>
              </w:rPr>
            </w:pPr>
            <w:r>
              <w:rPr>
                <w:rFonts w:cs="Arial"/>
              </w:rPr>
              <w:t>Vice President</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spacing w:before="40" w:after="40"/>
              <w:rPr>
                <w:rFonts w:cs="Arial"/>
              </w:rPr>
            </w:pPr>
            <w:r>
              <w:rPr>
                <w:rFonts w:cs="Arial"/>
              </w:rPr>
              <w:t>$50,000</w:t>
            </w:r>
          </w:p>
        </w:tc>
      </w:tr>
      <w:tr>
        <w:trPr>
          <w:trHeight w:val="360" w:hRule="atLeast"/>
        </w:trPr>
        <w:tc>
          <w:tcPr>
            <w:tcW w:w="6120" w:type="dxa"/>
            <w:tcBorders>
              <w:top w:val="single" w:sz="4" w:space="0" w:color="000000"/>
              <w:start w:val="single" w:sz="4" w:space="0" w:color="000000"/>
              <w:bottom w:val="single" w:sz="4" w:space="0" w:color="000000"/>
              <w:end w:val="single" w:sz="4" w:space="0" w:color="000000"/>
            </w:tcBorders>
            <w:vAlign w:val="center"/>
          </w:tcPr>
          <w:p>
            <w:pPr>
              <w:pStyle w:val="Normal"/>
              <w:spacing w:before="40" w:after="40"/>
              <w:rPr>
                <w:rFonts w:cs="Arial"/>
              </w:rPr>
            </w:pPr>
            <w:r>
              <w:rPr>
                <w:rFonts w:cs="Arial"/>
              </w:rPr>
              <w:t>Managing Director</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spacing w:before="40" w:after="40"/>
              <w:rPr>
                <w:rFonts w:cs="Arial"/>
              </w:rPr>
            </w:pPr>
            <w:r>
              <w:rPr>
                <w:rFonts w:cs="Arial"/>
              </w:rPr>
              <w:t>$250,000</w:t>
            </w:r>
          </w:p>
        </w:tc>
      </w:tr>
      <w:tr>
        <w:trPr>
          <w:trHeight w:val="360" w:hRule="atLeast"/>
        </w:trPr>
        <w:tc>
          <w:tcPr>
            <w:tcW w:w="6120" w:type="dxa"/>
            <w:tcBorders>
              <w:top w:val="single" w:sz="4" w:space="0" w:color="000000"/>
              <w:start w:val="single" w:sz="4" w:space="0" w:color="000000"/>
              <w:bottom w:val="single" w:sz="4" w:space="0" w:color="000000"/>
              <w:end w:val="single" w:sz="4" w:space="0" w:color="000000"/>
            </w:tcBorders>
            <w:vAlign w:val="center"/>
          </w:tcPr>
          <w:p>
            <w:pPr>
              <w:pStyle w:val="Normal"/>
              <w:spacing w:before="40" w:after="40"/>
              <w:rPr>
                <w:rFonts w:cs="Arial"/>
              </w:rPr>
            </w:pPr>
            <w:r>
              <w:rPr>
                <w:rFonts w:cs="Arial"/>
              </w:rPr>
              <w:t>Office of the Chair</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spacing w:before="40" w:after="40"/>
              <w:rPr>
                <w:rFonts w:cs="Arial"/>
              </w:rPr>
            </w:pPr>
            <w:r>
              <w:rPr>
                <w:rFonts w:cs="Arial"/>
              </w:rPr>
              <w:t>$5,000,000</w:t>
            </w:r>
          </w:p>
        </w:tc>
      </w:tr>
      <w:tr>
        <w:trPr>
          <w:trHeight w:val="360" w:hRule="atLeast"/>
        </w:trPr>
        <w:tc>
          <w:tcPr>
            <w:tcW w:w="6120" w:type="dxa"/>
            <w:tcBorders>
              <w:top w:val="single" w:sz="4" w:space="0" w:color="000000"/>
              <w:start w:val="single" w:sz="4" w:space="0" w:color="000000"/>
              <w:bottom w:val="single" w:sz="4" w:space="0" w:color="000000"/>
              <w:end w:val="single" w:sz="4" w:space="0" w:color="000000"/>
            </w:tcBorders>
            <w:vAlign w:val="center"/>
          </w:tcPr>
          <w:p>
            <w:pPr>
              <w:pStyle w:val="Normal"/>
              <w:spacing w:before="40" w:after="40"/>
              <w:rPr>
                <w:rFonts w:cs="Arial"/>
              </w:rPr>
            </w:pPr>
            <w:r>
              <w:rPr>
                <w:rFonts w:cs="Arial"/>
              </w:rPr>
              <w:t>Purchasing Review</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spacing w:before="40" w:after="40"/>
              <w:rPr>
                <w:rFonts w:cs="Arial"/>
              </w:rPr>
            </w:pPr>
            <w:r>
              <w:rPr>
                <w:rFonts w:cs="Arial"/>
              </w:rPr>
              <w:t>ALL IT Equipment</w:t>
            </w:r>
          </w:p>
        </w:tc>
      </w:tr>
    </w:tbl>
    <w:p>
      <w:pPr>
        <w:pStyle w:val="BodyText3"/>
        <w:spacing w:before="240" w:after="0"/>
        <w:jc w:val="both"/>
        <w:rPr>
          <w:rFonts w:cs="Times New Roman"/>
          <w:b/>
          <w:bCs/>
        </w:rPr>
      </w:pPr>
      <w:r>
        <w:rPr>
          <w:rFonts w:cs="Times New Roman"/>
          <w:b/>
          <w:bCs/>
        </w:rPr>
        <w:t>What do spend and approval limits mean?</w:t>
      </w:r>
    </w:p>
    <w:p>
      <w:pPr>
        <w:pStyle w:val="BodyText3"/>
        <w:spacing w:before="120" w:after="0"/>
        <w:jc w:val="both"/>
        <w:rPr/>
      </w:pPr>
      <w:r>
        <w:rPr/>
        <w:t xml:space="preserve">Spend and approval limits define whether </w:t>
      </w:r>
      <w:r>
        <w:rPr>
          <w:i/>
          <w:iCs/>
        </w:rPr>
        <w:t>monetary</w:t>
      </w:r>
      <w:r>
        <w:rPr/>
        <w:t xml:space="preserve"> approval of iBuyit eProcurement shopping carts is required.  A </w:t>
      </w:r>
      <w:r>
        <w:rPr>
          <w:i/>
          <w:iCs/>
        </w:rPr>
        <w:t>spend</w:t>
      </w:r>
      <w:r>
        <w:rPr/>
        <w:t xml:space="preserve"> limit defines the dollar amount that each Job Title can spend without additional monetary approval.  An </w:t>
      </w:r>
      <w:r>
        <w:rPr>
          <w:i/>
          <w:iCs/>
        </w:rPr>
        <w:t>approval</w:t>
      </w:r>
      <w:r>
        <w:rPr/>
        <w:t xml:space="preserve"> limit defines the authority that each Job Title has to approve the purchases of others.  </w:t>
      </w:r>
    </w:p>
    <w:p>
      <w:pPr>
        <w:pStyle w:val="BodyText3"/>
        <w:spacing w:before="120" w:after="0"/>
        <w:jc w:val="both"/>
        <w:rPr>
          <w:b/>
          <w:bCs/>
        </w:rPr>
      </w:pPr>
      <w:r>
        <w:rPr>
          <w:b/>
          <w:bCs/>
        </w:rPr>
        <w:t>What is IT Purchasing Review?</w:t>
      </w:r>
    </w:p>
    <w:p>
      <w:pPr>
        <w:pStyle w:val="BodyText"/>
        <w:spacing w:before="40" w:after="40"/>
        <w:jc w:val="both"/>
        <w:rPr/>
      </w:pPr>
      <w:r>
        <w:rPr/>
        <w:t xml:space="preserve">IT purchasing review is a </w:t>
      </w:r>
      <w:r>
        <w:rPr>
          <w:i/>
          <w:iCs/>
        </w:rPr>
        <w:t>technical</w:t>
      </w:r>
      <w:r>
        <w:rPr/>
        <w:t xml:space="preserve"> approval required for all IT hardware purchase requests, regardless of dollar value.  Corporate Global Strategic Sourcing (GSS) Buyers provide technical approval to ensure that the request is aligned with Enron’s IT strategy and standards.</w:t>
      </w:r>
    </w:p>
    <w:p>
      <w:pPr>
        <w:pStyle w:val="BodyText3"/>
        <w:spacing w:before="120" w:after="0"/>
        <w:jc w:val="both"/>
        <w:rPr>
          <w:b/>
          <w:bCs/>
        </w:rPr>
      </w:pPr>
      <w:r>
        <w:rPr>
          <w:b/>
          <w:bCs/>
        </w:rPr>
        <w:t>Examples</w:t>
      </w:r>
    </w:p>
    <w:p>
      <w:pPr>
        <w:pStyle w:val="Header"/>
        <w:tabs>
          <w:tab w:val="clear" w:pos="4536"/>
          <w:tab w:val="clear" w:pos="9072"/>
        </w:tabs>
        <w:jc w:val="both"/>
        <w:rPr>
          <w:rFonts w:cs="Arial"/>
          <w:i/>
          <w:i/>
          <w:iCs/>
        </w:rPr>
      </w:pPr>
      <w:r>
        <w:rPr>
          <w:rFonts w:cs="Arial"/>
          <w:i/>
          <w:iCs/>
        </w:rPr>
        <w:t>Example 1:  Contractor</w:t>
      </w:r>
    </w:p>
    <w:p>
      <w:pPr>
        <w:pStyle w:val="Header"/>
        <w:tabs>
          <w:tab w:val="clear" w:pos="4536"/>
          <w:tab w:val="clear" w:pos="9072"/>
        </w:tabs>
        <w:jc w:val="both"/>
        <w:rPr>
          <w:rFonts w:cs="Arial"/>
        </w:rPr>
      </w:pPr>
      <w:r>
        <w:rPr>
          <w:rFonts w:cs="Arial"/>
        </w:rPr>
        <w:t>A contractor is placing the weekly office supply order to replenish the office supply cabinet.  He is able to initiate a purchase request.  However, because the spend limit for contractors is $0, all of his purchase requests require monetary approval.  iBuyit eProcurement routes his shopping cart to the person in his reporting structure who has the required monetary approval authority.  The system identifies this person based on Enron’s HR system data.</w:t>
      </w:r>
    </w:p>
    <w:p>
      <w:pPr>
        <w:pStyle w:val="Header"/>
        <w:tabs>
          <w:tab w:val="clear" w:pos="4536"/>
          <w:tab w:val="clear" w:pos="9072"/>
        </w:tabs>
        <w:jc w:val="both"/>
        <w:rPr>
          <w:rFonts w:cs="Arial"/>
          <w:i/>
          <w:i/>
          <w:iCs/>
        </w:rPr>
      </w:pPr>
      <w:r>
        <w:rPr>
          <w:rFonts w:cs="Arial"/>
          <w:i/>
          <w:iCs/>
        </w:rPr>
        <w:t>Example 2:  Executive Assistant</w:t>
      </w:r>
    </w:p>
    <w:p>
      <w:pPr>
        <w:pStyle w:val="Header"/>
        <w:tabs>
          <w:tab w:val="clear" w:pos="4536"/>
          <w:tab w:val="clear" w:pos="9072"/>
        </w:tabs>
        <w:jc w:val="both"/>
        <w:rPr>
          <w:rFonts w:cs="Arial"/>
        </w:rPr>
      </w:pPr>
      <w:r>
        <w:rPr>
          <w:rFonts w:cs="Arial"/>
        </w:rPr>
        <w:t>An executive assistant is ordering an IT desktop workstation for a new hire.  The total shopping cart value is $800.  Because the spend limit for executive assistants is $500, her shopping cart is routed to the person in her reporting structure who has the required monetary approval authority.  In addition, the shopping cart is routed to Corporate GSS Buyers for technical approval.</w:t>
      </w:r>
    </w:p>
    <w:p>
      <w:pPr>
        <w:pStyle w:val="BodyText3"/>
        <w:spacing w:before="120" w:after="0"/>
        <w:jc w:val="both"/>
        <w:rPr/>
      </w:pPr>
      <w:r>
        <w:rPr/>
        <w:t xml:space="preserve">Contact </w:t>
      </w:r>
      <w:r>
        <w:rPr>
          <w:b/>
          <w:bCs/>
        </w:rPr>
        <w:t>X</w:t>
      </w:r>
      <w:r>
        <w:rPr/>
        <w:t xml:space="preserve"> for questions regarding these guidelines.</w:t>
      </w:r>
    </w:p>
    <w:sectPr>
      <w:headerReference w:type="default" r:id="rId2"/>
      <w:footerReference w:type="default" r:id="rId3"/>
      <w:type w:val="nextPage"/>
      <w:pgSz w:w="12240" w:h="15840"/>
      <w:pgMar w:left="1440" w:right="1440" w:gutter="0" w:header="720" w:top="776" w:footer="36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536"/>
        <w:tab w:val="clear" w:pos="9072"/>
        <w:tab w:val="right" w:pos="9360" w:leader="none"/>
      </w:tabs>
      <w:spacing w:before="0" w:after="0"/>
      <w:rPr>
        <w:sz w:val="14"/>
      </w:rPr>
    </w:pPr>
    <w:r>
      <w:rPr>
        <w:sz w:val="14"/>
      </w:rPr>
      <w:t>Enron Americas</w:t>
      <w:tab/>
      <w:t>Effective as of September 21, 2001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9072"/>
        <w:tab w:val="center" w:pos="4536" w:leader="none"/>
        <w:tab w:val="right" w:pos="12690" w:leader="none"/>
      </w:tabs>
      <w:spacing w:before="40" w:after="0"/>
      <w:jc w:val="end"/>
      <w:rPr>
        <w:b/>
        <w:sz w:val="28"/>
      </w:rPr>
    </w:pPr>
    <w:r>
      <w:drawing>
        <wp:anchor behindDoc="0" distT="0" distB="0" distL="114935" distR="114935" simplePos="0" locked="0" layoutInCell="0" allowOverlap="1" relativeHeight="2">
          <wp:simplePos x="0" y="0"/>
          <wp:positionH relativeFrom="column">
            <wp:posOffset>82550</wp:posOffset>
          </wp:positionH>
          <wp:positionV relativeFrom="paragraph">
            <wp:posOffset>-168910</wp:posOffset>
          </wp:positionV>
          <wp:extent cx="1428750" cy="400050"/>
          <wp:effectExtent l="0" t="0" r="0" b="0"/>
          <wp:wrapTight wrapText="bothSides">
            <wp:wrapPolygon edited="0">
              <wp:start x="-144" y="0"/>
              <wp:lineTo x="-144" y="20944"/>
              <wp:lineTo x="21600" y="20944"/>
              <wp:lineTo x="21600" y="0"/>
              <wp:lineTo x="-144" y="0"/>
            </wp:wrapPolygon>
          </wp:wrapTight>
          <wp:docPr id="1" name="ibuyit_orange_rectangl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buyit_orange_rectangle" descr="" title=""/>
                  <pic:cNvPicPr>
                    <a:picLocks noChangeAspect="1" noChangeArrowheads="1"/>
                  </pic:cNvPicPr>
                </pic:nvPicPr>
                <pic:blipFill>
                  <a:blip r:embed="rId1"/>
                  <a:srcRect l="-25" t="-90" r="-25" b="-90"/>
                  <a:stretch>
                    <a:fillRect/>
                  </a:stretch>
                </pic:blipFill>
                <pic:spPr bwMode="auto">
                  <a:xfrm>
                    <a:off x="0" y="0"/>
                    <a:ext cx="1428750" cy="400050"/>
                  </a:xfrm>
                  <a:prstGeom prst="rect">
                    <a:avLst/>
                  </a:prstGeom>
                  <a:noFill/>
                </pic:spPr>
              </pic:pic>
            </a:graphicData>
          </a:graphic>
        </wp:anchor>
      </w:drawing>
    </w:r>
    <w:r>
      <w:rPr>
        <w:b/>
        <w:sz w:val="28"/>
      </w:rPr>
      <w:t>Enron Americas</w:t>
    </w:r>
  </w:p>
  <w:p>
    <w:pPr>
      <w:pStyle w:val="Header"/>
      <w:tabs>
        <w:tab w:val="clear" w:pos="9072"/>
        <w:tab w:val="center" w:pos="4536" w:leader="none"/>
        <w:tab w:val="right" w:pos="12690" w:leader="none"/>
      </w:tabs>
      <w:spacing w:before="40" w:after="0"/>
      <w:ind w:start="180" w:end="-90"/>
      <w:rPr/>
    </w:pPr>
    <w:r>
      <w:rPr>
        <w:b/>
        <w:color w:val="0000FF"/>
        <w:sz w:val="28"/>
      </w:rPr>
      <w:t xml:space="preserve">eProcurement                                       </w:t>
    </w:r>
    <w:r>
      <w:rPr>
        <w:b/>
        <w:sz w:val="28"/>
      </w:rPr>
      <w:t>Spend and Approval Guidelines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283"/>
        </w:tabs>
        <w:ind w:start="283" w:hanging="283"/>
      </w:pPr>
    </w:lvl>
  </w:abstractNum>
  <w:abstractNum w:abstractNumId="13">
    <w:lvl w:ilvl="0">
      <w:start w:val="1"/>
      <w:numFmt w:val="bullet"/>
      <w:lvlText w:val=""/>
      <w:lvlJc w:val="start"/>
      <w:pPr>
        <w:tabs>
          <w:tab w:val="num" w:pos="283"/>
        </w:tabs>
        <w:ind w:start="283" w:hanging="283"/>
      </w:pPr>
      <w:rPr>
        <w:rFonts w:ascii="Symbol" w:hAnsi="Symbol" w:cs="Symbol" w:hint="default"/>
      </w:rPr>
    </w:lvl>
  </w:abstractNum>
  <w:abstractNum w:abstractNumId="14">
    <w:lvl w:ilvl="0">
      <w:start w:val="1"/>
      <w:numFmt w:val="bullet"/>
      <w:lvlText w:val=""/>
      <w:lvlJc w:val="start"/>
      <w:pPr>
        <w:tabs>
          <w:tab w:val="num" w:pos="283"/>
        </w:tabs>
        <w:ind w:start="283" w:hanging="283"/>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06"/>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40" w:after="40"/>
    </w:pPr>
    <w:rPr>
      <w:rFonts w:ascii="Arial" w:hAnsi="Arial" w:eastAsia="Times New Roman" w:cs="Arial"/>
      <w:color w:val="auto"/>
      <w:sz w:val="20"/>
      <w:szCs w:val="20"/>
      <w:lang w:val="en-US" w:bidi="ar-SA" w:eastAsia="zh-CN"/>
    </w:rPr>
  </w:style>
  <w:style w:type="paragraph" w:styleId="Heading1">
    <w:name w:val="heading 1"/>
    <w:basedOn w:val="Normal"/>
    <w:next w:val="Normal"/>
    <w:qFormat/>
    <w:pPr>
      <w:keepNext w:val="true"/>
      <w:numPr>
        <w:ilvl w:val="0"/>
        <w:numId w:val="1"/>
      </w:numPr>
      <w:shd w:fill="FFFFFF" w:val="clear"/>
      <w:spacing w:before="120" w:after="40"/>
      <w:outlineLvl w:val="0"/>
    </w:pPr>
    <w:rPr>
      <w:rFonts w:ascii="Helvetica" w:hAnsi="Helvetica" w:cs="Helvetica"/>
      <w:b/>
      <w:color w:val="FF6600"/>
      <w:sz w:val="22"/>
    </w:rPr>
  </w:style>
  <w:style w:type="paragraph" w:styleId="Heading2">
    <w:name w:val="heading 2"/>
    <w:basedOn w:val="Normal"/>
    <w:next w:val="Normal"/>
    <w:qFormat/>
    <w:pPr>
      <w:keepNext w:val="true"/>
      <w:numPr>
        <w:ilvl w:val="1"/>
        <w:numId w:val="1"/>
      </w:numPr>
      <w:spacing w:before="120" w:after="40"/>
      <w:outlineLvl w:val="1"/>
    </w:pPr>
    <w:rPr>
      <w:b/>
      <w:color w:val="000080"/>
    </w:rPr>
  </w:style>
  <w:style w:type="paragraph" w:styleId="Heading3">
    <w:name w:val="heading 3"/>
    <w:basedOn w:val="Normal"/>
    <w:next w:val="Normal"/>
    <w:qFormat/>
    <w:pPr>
      <w:numPr>
        <w:ilvl w:val="2"/>
        <w:numId w:val="1"/>
      </w:numPr>
      <w:spacing w:before="120" w:after="40"/>
      <w:outlineLvl w:val="2"/>
    </w:pPr>
    <w:rPr>
      <w:b/>
      <w:color w:val="0000FF"/>
    </w:rPr>
  </w:style>
  <w:style w:type="paragraph" w:styleId="Heading4">
    <w:name w:val="heading 4"/>
    <w:basedOn w:val="Normal"/>
    <w:next w:val="Normal"/>
    <w:qFormat/>
    <w:pPr>
      <w:keepNext w:val="true"/>
      <w:numPr>
        <w:ilvl w:val="3"/>
        <w:numId w:val="1"/>
      </w:numPr>
      <w:spacing w:before="40" w:after="40"/>
      <w:ind w:hanging="0" w:start="360" w:end="0"/>
      <w:outlineLvl w:val="3"/>
    </w:pPr>
    <w:rPr>
      <w:b/>
      <w:color w:val="FF6600"/>
      <w:sz w:val="22"/>
    </w:rPr>
  </w:style>
  <w:style w:type="paragraph" w:styleId="Heading5">
    <w:name w:val="heading 5"/>
    <w:basedOn w:val="Normal"/>
    <w:next w:val="Normal"/>
    <w:qFormat/>
    <w:pPr>
      <w:keepNext w:val="true"/>
      <w:numPr>
        <w:ilvl w:val="4"/>
        <w:numId w:val="1"/>
      </w:numPr>
      <w:autoSpaceDE w:val="false"/>
      <w:outlineLvl w:val="4"/>
    </w:pPr>
    <w:rPr>
      <w:b/>
      <w:bCs/>
      <w:color w:val="FF0000"/>
    </w:rPr>
  </w:style>
  <w:style w:type="paragraph" w:styleId="Heading6">
    <w:name w:val="heading 6"/>
    <w:basedOn w:val="Normal"/>
    <w:next w:val="Normal"/>
    <w:qFormat/>
    <w:pPr>
      <w:keepNext w:val="true"/>
      <w:numPr>
        <w:ilvl w:val="5"/>
        <w:numId w:val="1"/>
      </w:numPr>
      <w:outlineLvl w:val="5"/>
    </w:pPr>
    <w:rPr>
      <w:rFonts w:cs="Arial"/>
      <w:b/>
      <w:bCs/>
      <w:i/>
      <w:iCs/>
      <w:color w:val="FF0000"/>
      <w:sz w:val="24"/>
    </w:rPr>
  </w:style>
  <w:style w:type="paragraph" w:styleId="Heading7">
    <w:name w:val="heading 7"/>
    <w:basedOn w:val="Normal"/>
    <w:next w:val="Normal"/>
    <w:qFormat/>
    <w:pPr>
      <w:keepNext w:val="true"/>
      <w:numPr>
        <w:ilvl w:val="6"/>
        <w:numId w:val="1"/>
      </w:numPr>
      <w:outlineLvl w:val="6"/>
    </w:pPr>
    <w:rPr>
      <w:b/>
      <w:bCs/>
      <w:i/>
      <w:iCs/>
      <w:color w:val="FF6600"/>
    </w:rPr>
  </w:style>
  <w:style w:type="paragraph" w:styleId="Heading8">
    <w:name w:val="heading 8"/>
    <w:basedOn w:val="Normal"/>
    <w:next w:val="Normal"/>
    <w:qFormat/>
    <w:pPr>
      <w:keepNext w:val="true"/>
      <w:numPr>
        <w:ilvl w:val="7"/>
        <w:numId w:val="1"/>
      </w:numPr>
      <w:spacing w:before="40" w:after="40"/>
      <w:jc w:val="center"/>
      <w:outlineLvl w:val="7"/>
    </w:pPr>
    <w:rPr>
      <w:b/>
    </w:rPr>
  </w:style>
  <w:style w:type="paragraph" w:styleId="Heading9">
    <w:name w:val="heading 9"/>
    <w:basedOn w:val="Normal"/>
    <w:next w:val="Normal"/>
    <w:qFormat/>
    <w:pPr>
      <w:keepNext w:val="true"/>
      <w:numPr>
        <w:ilvl w:val="8"/>
        <w:numId w:val="1"/>
      </w:numPr>
      <w:spacing w:before="40" w:after="0"/>
      <w:outlineLvl w:val="8"/>
    </w:pPr>
    <w:rPr>
      <w:b/>
      <w:color w:val="0000FF"/>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4z0">
    <w:name w:val="WW8Num14z0"/>
    <w:qFormat/>
    <w:rPr>
      <w:rFonts w:ascii="Symbol" w:hAnsi="Symbol" w:cs="Symbol"/>
      <w:color w:val="auto"/>
    </w:rPr>
  </w:style>
  <w:style w:type="character" w:styleId="WW8Num15z0">
    <w:name w:val="WW8Num15z0"/>
    <w:qFormat/>
    <w:rPr>
      <w:rFonts w:cs="Arial"/>
    </w:rPr>
  </w:style>
  <w:style w:type="character" w:styleId="WW8Num17z0">
    <w:name w:val="WW8Num17z0"/>
    <w:qFormat/>
    <w:rPr>
      <w:rFonts w:ascii="Arial" w:hAnsi="Arial" w:cs="Arial"/>
      <w:b/>
      <w:i/>
      <w:color w:val="FF6600"/>
      <w:sz w:val="24"/>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2z0">
    <w:name w:val="WW8Num22z0"/>
    <w:qFormat/>
    <w:rPr>
      <w:rFonts w:ascii="Symbol" w:hAnsi="Symbol" w:cs="Symbol"/>
      <w:sz w:val="22"/>
    </w:rPr>
  </w:style>
  <w:style w:type="character" w:styleId="WW8Num24z0">
    <w:name w:val="WW8Num24z0"/>
    <w:qFormat/>
    <w:rPr>
      <w:rFonts w:ascii="Symbol" w:hAnsi="Symbol" w:cs="Symbol"/>
      <w:color w:val="auto"/>
    </w:rPr>
  </w:style>
  <w:style w:type="character" w:styleId="WW8Num25z0">
    <w:name w:val="WW8Num25z0"/>
    <w:qFormat/>
    <w:rPr>
      <w:rFonts w:ascii="Symbol" w:hAnsi="Symbol" w:cs="Symbol"/>
      <w:color w:val="auto"/>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style>
  <w:style w:type="character" w:styleId="WW8Num35z0">
    <w:name w:val="WW8Num35z0"/>
    <w:qFormat/>
    <w:rPr>
      <w:rFonts w:ascii="Wingdings" w:hAnsi="Wingdings" w:cs="Wingdings"/>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8z0">
    <w:name w:val="WW8Num38z0"/>
    <w:qFormat/>
    <w:rPr>
      <w:rFonts w:ascii="Symbol" w:hAnsi="Symbol" w:cs="Symbol"/>
    </w:rPr>
  </w:style>
  <w:style w:type="character" w:styleId="WW8Num39z0">
    <w:name w:val="WW8Num39z0"/>
    <w:qFormat/>
    <w:rPr>
      <w:rFonts w:ascii="Symbol" w:hAnsi="Symbol" w:cs="Symbol"/>
      <w:color w:val="auto"/>
    </w:rPr>
  </w:style>
  <w:style w:type="character" w:styleId="WW8Num41z0">
    <w:name w:val="WW8Num41z0"/>
    <w:qFormat/>
    <w:rPr>
      <w:rFonts w:ascii="Symbol" w:hAnsi="Symbol" w:cs="Symbol"/>
      <w:color w:val="auto"/>
    </w:rPr>
  </w:style>
  <w:style w:type="character" w:styleId="WW8Num42z0">
    <w:name w:val="WW8Num42z0"/>
    <w:qFormat/>
    <w:rPr>
      <w:rFonts w:ascii="Wingdings" w:hAnsi="Wingdings" w:cs="Wingdings"/>
      <w:sz w:val="32"/>
    </w:rPr>
  </w:style>
  <w:style w:type="character" w:styleId="WW8Num44z0">
    <w:name w:val="WW8Num44z0"/>
    <w:qFormat/>
    <w:rPr>
      <w:rFonts w:ascii="Symbol" w:hAnsi="Symbol" w:cs="Symbol"/>
      <w:color w:val="auto"/>
    </w:rPr>
  </w:style>
  <w:style w:type="character" w:styleId="WW8Num45z0">
    <w:name w:val="WW8Num45z0"/>
    <w:qFormat/>
    <w:rPr>
      <w:rFonts w:ascii="Symbol" w:hAnsi="Symbol" w:cs="Symbol"/>
    </w:rPr>
  </w:style>
  <w:style w:type="character" w:styleId="WW8Num46z0">
    <w:name w:val="WW8Num46z0"/>
    <w:qFormat/>
    <w:rPr>
      <w:rFonts w:ascii="Arial" w:hAnsi="Arial" w:eastAsia="Times New Roman" w:cs="Aria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6z3">
    <w:name w:val="WW8Num46z3"/>
    <w:qFormat/>
    <w:rPr>
      <w:rFonts w:ascii="Symbol" w:hAnsi="Symbol" w:cs="Symbol"/>
    </w:rPr>
  </w:style>
  <w:style w:type="character" w:styleId="WW8Num47z0">
    <w:name w:val="WW8Num47z0"/>
    <w:qFormat/>
    <w:rPr>
      <w:rFonts w:ascii="Symbol" w:hAnsi="Symbol" w:cs="Symbol"/>
      <w:color w:val="auto"/>
    </w:rPr>
  </w:style>
  <w:style w:type="character" w:styleId="WW8Num48z0">
    <w:name w:val="WW8Num48z0"/>
    <w:qFormat/>
    <w:rPr>
      <w:rFonts w:ascii="Symbol" w:hAnsi="Symbol" w:cs="Symbol"/>
      <w:color w:val="auto"/>
    </w:rPr>
  </w:style>
  <w:style w:type="character" w:styleId="WW8Num49z0">
    <w:name w:val="WW8Num49z0"/>
    <w:qFormat/>
    <w:rPr>
      <w:rFonts w:ascii="Symbol" w:hAnsi="Symbol" w:cs="Symbol"/>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51z0">
    <w:name w:val="WW8Num51z0"/>
    <w:qFormat/>
    <w:rPr>
      <w:rFonts w:ascii="Symbol" w:hAnsi="Symbol" w:cs="Symbol"/>
    </w:rPr>
  </w:style>
  <w:style w:type="character" w:styleId="WW8Num51z2">
    <w:name w:val="WW8Num51z2"/>
    <w:qFormat/>
    <w:rPr>
      <w:rFonts w:ascii="Wingdings" w:hAnsi="Wingdings" w:cs="Wingdings"/>
    </w:rPr>
  </w:style>
  <w:style w:type="character" w:styleId="WW8Num51z4">
    <w:name w:val="WW8Num51z4"/>
    <w:qFormat/>
    <w:rPr>
      <w:rFonts w:ascii="Courier New" w:hAnsi="Courier New" w:cs="Courier New"/>
    </w:rPr>
  </w:style>
  <w:style w:type="character" w:styleId="WW8Num52z0">
    <w:name w:val="WW8Num52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color w:val="auto"/>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sz w:val="22"/>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sz w:val="16"/>
    </w:rPr>
  </w:style>
  <w:style w:type="character" w:styleId="WW8Num63z0">
    <w:name w:val="WW8Num63z0"/>
    <w:qFormat/>
    <w:rPr>
      <w:rFonts w:ascii="Symbol" w:hAnsi="Symbol" w:cs="Symbol"/>
      <w:color w:val="auto"/>
    </w:rPr>
  </w:style>
  <w:style w:type="character" w:styleId="WW8Num65z0">
    <w:name w:val="WW8Num65z0"/>
    <w:qFormat/>
    <w:rPr>
      <w:rFonts w:ascii="Symbol" w:hAnsi="Symbol" w:cs="Symbol"/>
      <w:color w:val="auto"/>
    </w:rPr>
  </w:style>
  <w:style w:type="character" w:styleId="WW8Num66z0">
    <w:name w:val="WW8Num66z0"/>
    <w:qFormat/>
    <w:rPr>
      <w:rFonts w:ascii="Wingdings" w:hAnsi="Wingdings" w:cs="Wingdings"/>
      <w:sz w:val="28"/>
    </w:rPr>
  </w:style>
  <w:style w:type="character" w:styleId="WW8Num66z1">
    <w:name w:val="WW8Num66z1"/>
    <w:qFormat/>
    <w:rPr>
      <w:rFonts w:ascii="Courier New" w:hAnsi="Courier New" w:cs="Courier New"/>
    </w:rPr>
  </w:style>
  <w:style w:type="character" w:styleId="WW8Num66z2">
    <w:name w:val="WW8Num66z2"/>
    <w:qFormat/>
    <w:rPr>
      <w:rFonts w:ascii="Wingdings" w:hAnsi="Wingdings" w:cs="Wingdings"/>
    </w:rPr>
  </w:style>
  <w:style w:type="character" w:styleId="WW8Num66z3">
    <w:name w:val="WW8Num66z3"/>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69z1">
    <w:name w:val="WW8Num69z1"/>
    <w:qFormat/>
    <w:rPr>
      <w:rFonts w:ascii="Courier New" w:hAnsi="Courier New" w:cs="Courier New"/>
    </w:rPr>
  </w:style>
  <w:style w:type="character" w:styleId="WW8Num69z2">
    <w:name w:val="WW8Num69z2"/>
    <w:qFormat/>
    <w:rPr>
      <w:rFonts w:ascii="Wingdings" w:hAnsi="Wingdings" w:cs="Wingdings"/>
    </w:rPr>
  </w:style>
  <w:style w:type="character" w:styleId="WW8Num70z0">
    <w:name w:val="WW8Num70z0"/>
    <w:qFormat/>
    <w:rPr>
      <w:rFonts w:ascii="Symbol" w:hAnsi="Symbol" w:cs="Symbol"/>
      <w:color w:val="auto"/>
    </w:rPr>
  </w:style>
  <w:style w:type="character" w:styleId="WW8Num71z0">
    <w:name w:val="WW8Num71z0"/>
    <w:qFormat/>
    <w:rPr>
      <w:rFonts w:ascii="Symbol" w:hAnsi="Symbol" w:cs="Symbol"/>
      <w:sz w:val="20"/>
    </w:rPr>
  </w:style>
  <w:style w:type="character" w:styleId="WW8Num71z1">
    <w:name w:val="WW8Num71z1"/>
    <w:qFormat/>
    <w:rPr>
      <w:rFonts w:ascii="Courier New" w:hAnsi="Courier New" w:cs="Courier New"/>
    </w:rPr>
  </w:style>
  <w:style w:type="character" w:styleId="WW8Num71z2">
    <w:name w:val="WW8Num71z2"/>
    <w:qFormat/>
    <w:rPr>
      <w:rFonts w:ascii="Wingdings" w:hAnsi="Wingdings" w:cs="Wingdings"/>
    </w:rPr>
  </w:style>
  <w:style w:type="character" w:styleId="WW8Num71z3">
    <w:name w:val="WW8Num71z3"/>
    <w:qFormat/>
    <w:rPr>
      <w:rFonts w:ascii="Symbol" w:hAnsi="Symbol" w:cs="Symbol"/>
    </w:rPr>
  </w:style>
  <w:style w:type="character" w:styleId="WW8Num72z0">
    <w:name w:val="WW8Num72z0"/>
    <w:qFormat/>
    <w:rPr>
      <w:rFonts w:ascii="Symbol" w:hAnsi="Symbol" w:cs="Symbol"/>
    </w:rPr>
  </w:style>
  <w:style w:type="character" w:styleId="WW8Num72z1">
    <w:name w:val="WW8Num72z1"/>
    <w:qFormat/>
    <w:rPr>
      <w:rFonts w:ascii="Courier New" w:hAnsi="Courier New" w:cs="Courier New"/>
    </w:rPr>
  </w:style>
  <w:style w:type="character" w:styleId="WW8Num72z2">
    <w:name w:val="WW8Num72z2"/>
    <w:qFormat/>
    <w:rPr>
      <w:rFonts w:ascii="Wingdings" w:hAnsi="Wingdings" w:cs="Wingdings"/>
    </w:rPr>
  </w:style>
  <w:style w:type="character" w:styleId="WW8Num74z0">
    <w:name w:val="WW8Num74z0"/>
    <w:qFormat/>
    <w:rPr>
      <w:rFonts w:ascii="Wingdings" w:hAnsi="Wingdings" w:cs="Wingdings"/>
    </w:rPr>
  </w:style>
  <w:style w:type="character" w:styleId="WW8Num74z1">
    <w:name w:val="WW8Num74z1"/>
    <w:qFormat/>
    <w:rPr>
      <w:rFonts w:ascii="Courier New" w:hAnsi="Courier New" w:cs="Courier New"/>
    </w:rPr>
  </w:style>
  <w:style w:type="character" w:styleId="WW8Num74z3">
    <w:name w:val="WW8Num74z3"/>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Wingdings" w:hAnsi="Wingdings" w:cs="Wingdings"/>
    </w:rPr>
  </w:style>
  <w:style w:type="character" w:styleId="WW8Num76z1">
    <w:name w:val="WW8Num76z1"/>
    <w:qFormat/>
    <w:rPr>
      <w:rFonts w:ascii="Courier New" w:hAnsi="Courier New" w:cs="Courier New"/>
    </w:rPr>
  </w:style>
  <w:style w:type="character" w:styleId="WW8Num76z3">
    <w:name w:val="WW8Num76z3"/>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80z0">
    <w:name w:val="WW8Num80z0"/>
    <w:qFormat/>
    <w:rPr/>
  </w:style>
  <w:style w:type="character" w:styleId="WW8Num81z0">
    <w:name w:val="WW8Num81z0"/>
    <w:qFormat/>
    <w:rPr>
      <w:rFonts w:ascii="Symbol" w:hAnsi="Symbol" w:cs="Symbol"/>
      <w:color w:val="auto"/>
    </w:rPr>
  </w:style>
  <w:style w:type="character" w:styleId="WW8Num83z0">
    <w:name w:val="WW8Num83z0"/>
    <w:qFormat/>
    <w:rPr>
      <w:rFonts w:ascii="Wingdings" w:hAnsi="Wingdings" w:cs="Wingdings"/>
      <w:sz w:val="16"/>
    </w:rPr>
  </w:style>
  <w:style w:type="character" w:styleId="WW8Num84z0">
    <w:name w:val="WW8Num84z0"/>
    <w:qFormat/>
    <w:rPr>
      <w:rFonts w:ascii="Symbol" w:hAnsi="Symbol" w:cs="Symbol"/>
    </w:rPr>
  </w:style>
  <w:style w:type="character" w:styleId="WW8Num84z1">
    <w:name w:val="WW8Num84z1"/>
    <w:qFormat/>
    <w:rPr>
      <w:rFonts w:ascii="Courier New" w:hAnsi="Courier New" w:cs="Courier New"/>
    </w:rPr>
  </w:style>
  <w:style w:type="character" w:styleId="WW8Num84z2">
    <w:name w:val="WW8Num84z2"/>
    <w:qFormat/>
    <w:rPr>
      <w:rFonts w:ascii="Wingdings" w:hAnsi="Wingdings" w:cs="Wingdings"/>
    </w:rPr>
  </w:style>
  <w:style w:type="character" w:styleId="WW8Num85z0">
    <w:name w:val="WW8Num85z0"/>
    <w:qFormat/>
    <w:rPr>
      <w:rFonts w:ascii="Symbol" w:hAnsi="Symbol" w:cs="Symbol"/>
    </w:rPr>
  </w:style>
  <w:style w:type="character" w:styleId="WW8Num85z1">
    <w:name w:val="WW8Num85z1"/>
    <w:qFormat/>
    <w:rPr>
      <w:rFonts w:ascii="Courier New" w:hAnsi="Courier New" w:cs="Courier New"/>
    </w:rPr>
  </w:style>
  <w:style w:type="character" w:styleId="WW8Num85z2">
    <w:name w:val="WW8Num85z2"/>
    <w:qFormat/>
    <w:rPr>
      <w:rFonts w:ascii="Wingdings" w:hAnsi="Wingdings" w:cs="Wingdings"/>
    </w:rPr>
  </w:style>
  <w:style w:type="character" w:styleId="WW8Num86z0">
    <w:name w:val="WW8Num86z0"/>
    <w:qFormat/>
    <w:rPr>
      <w:rFonts w:ascii="Symbol" w:hAnsi="Symbol" w:cs="Symbol"/>
    </w:rPr>
  </w:style>
  <w:style w:type="character" w:styleId="WW8Num86z1">
    <w:name w:val="WW8Num86z1"/>
    <w:qFormat/>
    <w:rPr>
      <w:rFonts w:ascii="Courier New" w:hAnsi="Courier New" w:cs="Courier New"/>
    </w:rPr>
  </w:style>
  <w:style w:type="character" w:styleId="WW8Num86z2">
    <w:name w:val="WW8Num86z2"/>
    <w:qFormat/>
    <w:rPr>
      <w:rFonts w:ascii="Wingdings" w:hAnsi="Wingdings" w:cs="Wingdings"/>
    </w:rPr>
  </w:style>
  <w:style w:type="character" w:styleId="WW8Num87z0">
    <w:name w:val="WW8Num87z0"/>
    <w:qFormat/>
    <w:rPr>
      <w:rFonts w:ascii="Symbol" w:hAnsi="Symbol" w:cs="Symbol"/>
    </w:rPr>
  </w:style>
  <w:style w:type="character" w:styleId="WW8Num88z0">
    <w:name w:val="WW8Num88z0"/>
    <w:qFormat/>
    <w:rPr/>
  </w:style>
  <w:style w:type="character" w:styleId="WW8Num88z1">
    <w:name w:val="WW8Num88z1"/>
    <w:qFormat/>
    <w:rPr>
      <w:rFonts w:ascii="Courier New" w:hAnsi="Courier New" w:cs="Courier New"/>
    </w:rPr>
  </w:style>
  <w:style w:type="character" w:styleId="WW8Num88z2">
    <w:name w:val="WW8Num88z2"/>
    <w:qFormat/>
    <w:rPr>
      <w:rFonts w:ascii="Wingdings" w:hAnsi="Wingdings" w:cs="Wingdings"/>
    </w:rPr>
  </w:style>
  <w:style w:type="character" w:styleId="WW8Num88z3">
    <w:name w:val="WW8Num88z3"/>
    <w:qFormat/>
    <w:rPr>
      <w:rFonts w:ascii="Symbol" w:hAnsi="Symbol" w:cs="Symbol"/>
    </w:rPr>
  </w:style>
  <w:style w:type="character" w:styleId="WW8Num89z0">
    <w:name w:val="WW8Num89z0"/>
    <w:qFormat/>
    <w:rPr>
      <w:rFonts w:ascii="Symbol" w:hAnsi="Symbol" w:cs="Symbol"/>
    </w:rPr>
  </w:style>
  <w:style w:type="character" w:styleId="WW8Num91z0">
    <w:name w:val="WW8Num91z0"/>
    <w:qFormat/>
    <w:rPr>
      <w:rFonts w:ascii="Symbol" w:hAnsi="Symbol" w:cs="Symbol"/>
    </w:rPr>
  </w:style>
  <w:style w:type="character" w:styleId="WW8Num91z1">
    <w:name w:val="WW8Num91z1"/>
    <w:qFormat/>
    <w:rPr>
      <w:rFonts w:ascii="Courier New" w:hAnsi="Courier New" w:cs="Courier New"/>
    </w:rPr>
  </w:style>
  <w:style w:type="character" w:styleId="WW8Num91z2">
    <w:name w:val="WW8Num91z2"/>
    <w:qFormat/>
    <w:rPr>
      <w:rFonts w:ascii="Wingdings" w:hAnsi="Wingdings" w:cs="Wingdings"/>
    </w:rPr>
  </w:style>
  <w:style w:type="character" w:styleId="WW8Num92z0">
    <w:name w:val="WW8Num92z0"/>
    <w:qFormat/>
    <w:rPr>
      <w:rFonts w:ascii="Symbol" w:hAnsi="Symbol" w:cs="Symbol"/>
    </w:rPr>
  </w:style>
  <w:style w:type="character" w:styleId="WW8Num95z0">
    <w:name w:val="WW8Num95z0"/>
    <w:qFormat/>
    <w:rPr>
      <w:rFonts w:ascii="Symbol" w:hAnsi="Symbol" w:cs="Symbol"/>
    </w:rPr>
  </w:style>
  <w:style w:type="character" w:styleId="WW8Num96z2">
    <w:name w:val="WW8Num96z2"/>
    <w:qFormat/>
    <w:rPr>
      <w:rFonts w:ascii="Symbol" w:hAnsi="Symbol" w:cs="Symbol"/>
    </w:rPr>
  </w:style>
  <w:style w:type="character" w:styleId="WW8Num97z0">
    <w:name w:val="WW8Num97z0"/>
    <w:qFormat/>
    <w:rPr>
      <w:rFonts w:ascii="Symbol" w:hAnsi="Symbol" w:cs="Symbol"/>
      <w:color w:val="auto"/>
    </w:rPr>
  </w:style>
  <w:style w:type="character" w:styleId="WW8Num98z0">
    <w:name w:val="WW8Num98z0"/>
    <w:qFormat/>
    <w:rPr>
      <w:rFonts w:ascii="Symbol" w:hAnsi="Symbol" w:cs="Symbol"/>
    </w:rPr>
  </w:style>
  <w:style w:type="character" w:styleId="WW8Num99z0">
    <w:name w:val="WW8Num99z0"/>
    <w:qFormat/>
    <w:rPr>
      <w:rFonts w:cs="Courier New"/>
    </w:rPr>
  </w:style>
  <w:style w:type="character" w:styleId="WW8Num99z1">
    <w:name w:val="WW8Num99z1"/>
    <w:qFormat/>
    <w:rPr>
      <w:rFonts w:ascii="Courier New" w:hAnsi="Courier New" w:cs="Courier New"/>
    </w:rPr>
  </w:style>
  <w:style w:type="character" w:styleId="WW8Num99z2">
    <w:name w:val="WW8Num99z2"/>
    <w:qFormat/>
    <w:rPr>
      <w:rFonts w:ascii="Wingdings" w:hAnsi="Wingdings" w:cs="Wingdings"/>
    </w:rPr>
  </w:style>
  <w:style w:type="character" w:styleId="WW8Num99z3">
    <w:name w:val="WW8Num99z3"/>
    <w:qFormat/>
    <w:rPr>
      <w:rFonts w:ascii="Symbol" w:hAnsi="Symbol" w:cs="Symbol"/>
    </w:rPr>
  </w:style>
  <w:style w:type="character" w:styleId="WW8Num102z0">
    <w:name w:val="WW8Num102z0"/>
    <w:qFormat/>
    <w:rPr>
      <w:rFonts w:ascii="Symbol" w:hAnsi="Symbol" w:cs="Symbol"/>
      <w:color w:val="auto"/>
    </w:rPr>
  </w:style>
  <w:style w:type="character" w:styleId="WW8Num103z0">
    <w:name w:val="WW8Num103z0"/>
    <w:qFormat/>
    <w:rPr>
      <w:rFonts w:ascii="Symbol" w:hAnsi="Symbol" w:cs="Symbol"/>
      <w:color w:val="auto"/>
    </w:rPr>
  </w:style>
  <w:style w:type="character" w:styleId="WW8Num104z0">
    <w:name w:val="WW8Num104z0"/>
    <w:qFormat/>
    <w:rPr>
      <w:rFonts w:ascii="Symbol" w:hAnsi="Symbol" w:cs="Symbol"/>
      <w:sz w:val="20"/>
    </w:rPr>
  </w:style>
  <w:style w:type="character" w:styleId="WW8Num104z1">
    <w:name w:val="WW8Num104z1"/>
    <w:qFormat/>
    <w:rPr>
      <w:rFonts w:ascii="Courier New" w:hAnsi="Courier New" w:cs="Courier New"/>
    </w:rPr>
  </w:style>
  <w:style w:type="character" w:styleId="WW8Num104z2">
    <w:name w:val="WW8Num104z2"/>
    <w:qFormat/>
    <w:rPr>
      <w:rFonts w:ascii="Wingdings" w:hAnsi="Wingdings" w:cs="Wingdings"/>
    </w:rPr>
  </w:style>
  <w:style w:type="character" w:styleId="WW8Num104z3">
    <w:name w:val="WW8Num104z3"/>
    <w:qFormat/>
    <w:rPr>
      <w:rFonts w:ascii="Symbol" w:hAnsi="Symbol" w:cs="Symbol"/>
    </w:rPr>
  </w:style>
  <w:style w:type="character" w:styleId="WW8Num106z0">
    <w:name w:val="WW8Num106z0"/>
    <w:qFormat/>
    <w:rPr>
      <w:rFonts w:cs="Courier New"/>
    </w:rPr>
  </w:style>
  <w:style w:type="character" w:styleId="WW8Num106z1">
    <w:name w:val="WW8Num106z1"/>
    <w:qFormat/>
    <w:rPr>
      <w:rFonts w:ascii="Courier New" w:hAnsi="Courier New" w:cs="Courier New"/>
    </w:rPr>
  </w:style>
  <w:style w:type="character" w:styleId="WW8Num106z2">
    <w:name w:val="WW8Num106z2"/>
    <w:qFormat/>
    <w:rPr>
      <w:rFonts w:ascii="Wingdings" w:hAnsi="Wingdings" w:cs="Wingdings"/>
    </w:rPr>
  </w:style>
  <w:style w:type="character" w:styleId="WW8Num106z3">
    <w:name w:val="WW8Num106z3"/>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color w:val="000000"/>
    </w:rPr>
  </w:style>
  <w:style w:type="character" w:styleId="WW8Num109z1">
    <w:name w:val="WW8Num109z1"/>
    <w:qFormat/>
    <w:rPr>
      <w:rFonts w:ascii="Symbol" w:hAnsi="Symbol" w:eastAsia="Times New Roman" w:cs="Arial"/>
    </w:rPr>
  </w:style>
  <w:style w:type="character" w:styleId="WW8Num109z2">
    <w:name w:val="WW8Num109z2"/>
    <w:qFormat/>
    <w:rPr>
      <w:rFonts w:ascii="Wingdings" w:hAnsi="Wingdings" w:cs="Wingdings"/>
    </w:rPr>
  </w:style>
  <w:style w:type="character" w:styleId="WW8Num109z3">
    <w:name w:val="WW8Num109z3"/>
    <w:qFormat/>
    <w:rPr>
      <w:rFonts w:ascii="Symbol" w:hAnsi="Symbol" w:cs="Symbol"/>
    </w:rPr>
  </w:style>
  <w:style w:type="character" w:styleId="WW8Num109z4">
    <w:name w:val="WW8Num109z4"/>
    <w:qFormat/>
    <w:rPr>
      <w:rFonts w:ascii="Courier New" w:hAnsi="Courier New" w:cs="Courier New"/>
    </w:rPr>
  </w:style>
  <w:style w:type="character" w:styleId="WW8NumSt70z0">
    <w:name w:val="WW8NumSt70z0"/>
    <w:qFormat/>
    <w:rPr>
      <w:rFonts w:ascii="Symbol" w:hAnsi="Symbol" w:cs="Symbol"/>
    </w:rPr>
  </w:style>
  <w:style w:type="character" w:styleId="DefaultParagraphFont">
    <w:name w:val="Default Paragraph Font"/>
    <w:qFormat/>
    <w:rPr/>
  </w:style>
  <w:style w:type="character" w:styleId="AAAddress">
    <w:name w:val="AA Address"/>
    <w:basedOn w:val="DefaultParagraphFont"/>
    <w:qFormat/>
    <w:rPr>
      <w:rFonts w:ascii="Arial" w:hAnsi="Arial" w:cs="Arial"/>
      <w:strike w:val="false"/>
      <w:dstrike w:val="false"/>
      <w:color w:val="auto"/>
      <w:spacing w:val="0"/>
      <w:w w:val="100"/>
      <w:position w:val="0"/>
      <w:sz w:val="14"/>
      <w:sz w:val="14"/>
      <w:u w:val="none"/>
      <w:vertAlign w:val="baseline"/>
      <w:lang w:val="en-US"/>
    </w:rPr>
  </w:style>
  <w:style w:type="character" w:styleId="AAReference">
    <w:name w:val="AA Reference"/>
    <w:basedOn w:val="DefaultParagraphFont"/>
    <w:qFormat/>
    <w:rPr>
      <w:rFonts w:ascii="Arial" w:hAnsi="Arial" w:cs="Arial"/>
      <w:strike w:val="false"/>
      <w:dstrike w:val="false"/>
      <w:color w:val="auto"/>
      <w:spacing w:val="0"/>
      <w:w w:val="100"/>
      <w:position w:val="0"/>
      <w:sz w:val="14"/>
      <w:sz w:val="14"/>
      <w:vertAlign w:val="baseline"/>
      <w:lang w:val="en-US"/>
    </w:rPr>
  </w:style>
  <w:style w:type="character" w:styleId="Strong">
    <w:name w:val="Strong"/>
    <w:basedOn w:val="DefaultParagraphFont"/>
    <w:qFormat/>
    <w:rPr>
      <w:b/>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40" w:after="120"/>
    </w:pPr>
    <w:rPr/>
  </w:style>
  <w:style w:type="paragraph" w:styleId="List">
    <w:name w:val="List"/>
    <w:basedOn w:val="BodyText"/>
    <w:pPr/>
    <w:rPr>
      <w:rFonts w:cs="NotoSans NF"/>
    </w:rPr>
  </w:style>
  <w:style w:type="paragraph" w:styleId="Caption">
    <w:name w:val="caption"/>
    <w:basedOn w:val="Normal"/>
    <w:next w:val="Normal"/>
    <w:qFormat/>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06"/>
        <w:tab w:val="center" w:pos="4986" w:leader="none"/>
        <w:tab w:val="right" w:pos="9972" w:leader="none"/>
      </w:tabs>
    </w:pPr>
    <w:rPr/>
  </w:style>
  <w:style w:type="paragraph" w:styleId="Header">
    <w:name w:val="header"/>
    <w:basedOn w:val="Normal"/>
    <w:pPr>
      <w:tabs>
        <w:tab w:val="clear" w:pos="706"/>
        <w:tab w:val="center" w:pos="4536" w:leader="none"/>
        <w:tab w:val="right" w:pos="9072" w:leader="none"/>
      </w:tabs>
    </w:pPr>
    <w:rPr/>
  </w:style>
  <w:style w:type="paragraph" w:styleId="Footer">
    <w:name w:val="footer"/>
    <w:basedOn w:val="Normal"/>
    <w:pPr>
      <w:tabs>
        <w:tab w:val="clear" w:pos="706"/>
        <w:tab w:val="center" w:pos="4536" w:leader="none"/>
        <w:tab w:val="right" w:pos="9072" w:leader="none"/>
      </w:tabs>
      <w:spacing w:before="40" w:after="0"/>
    </w:pPr>
    <w:rPr>
      <w:sz w:val="16"/>
    </w:rPr>
  </w:style>
  <w:style w:type="paragraph" w:styleId="ListBullet">
    <w:name w:val="List Bullet"/>
    <w:basedOn w:val="Normal"/>
    <w:qFormat/>
    <w:pPr>
      <w:numPr>
        <w:ilvl w:val="0"/>
        <w:numId w:val="11"/>
      </w:numPr>
      <w:tabs>
        <w:tab w:val="clear" w:pos="706"/>
        <w:tab w:val="left" w:pos="284" w:leader="none"/>
      </w:tabs>
      <w:ind w:hanging="284" w:start="284" w:end="0"/>
    </w:pPr>
    <w:rPr/>
  </w:style>
  <w:style w:type="paragraph" w:styleId="ListBullet2">
    <w:name w:val="List Bullet 2"/>
    <w:basedOn w:val="Normal"/>
    <w:qFormat/>
    <w:pPr>
      <w:numPr>
        <w:ilvl w:val="0"/>
        <w:numId w:val="9"/>
      </w:numPr>
      <w:tabs>
        <w:tab w:val="clear" w:pos="706"/>
        <w:tab w:val="left" w:pos="567" w:leader="none"/>
      </w:tabs>
      <w:ind w:hanging="284" w:start="851" w:end="0"/>
    </w:pPr>
    <w:rPr/>
  </w:style>
  <w:style w:type="paragraph" w:styleId="ListBullet3">
    <w:name w:val="List Bullet 3"/>
    <w:basedOn w:val="Normal"/>
    <w:qFormat/>
    <w:pPr>
      <w:numPr>
        <w:ilvl w:val="0"/>
        <w:numId w:val="8"/>
      </w:numPr>
      <w:tabs>
        <w:tab w:val="clear" w:pos="706"/>
        <w:tab w:val="left" w:pos="851" w:leader="none"/>
      </w:tabs>
      <w:ind w:hanging="284" w:start="1135" w:end="0"/>
    </w:pPr>
    <w:rPr/>
  </w:style>
  <w:style w:type="paragraph" w:styleId="ListBullet4">
    <w:name w:val="List Bullet 4"/>
    <w:basedOn w:val="Normal"/>
    <w:qFormat/>
    <w:pPr>
      <w:numPr>
        <w:ilvl w:val="0"/>
        <w:numId w:val="7"/>
      </w:numPr>
      <w:tabs>
        <w:tab w:val="clear" w:pos="706"/>
        <w:tab w:val="left" w:pos="1134" w:leader="none"/>
      </w:tabs>
      <w:ind w:hanging="284" w:start="1418" w:end="0"/>
    </w:pPr>
    <w:rPr/>
  </w:style>
  <w:style w:type="paragraph" w:styleId="ListNumber">
    <w:name w:val="List Number"/>
    <w:basedOn w:val="Normal"/>
    <w:qFormat/>
    <w:pPr>
      <w:numPr>
        <w:ilvl w:val="0"/>
        <w:numId w:val="10"/>
      </w:numPr>
      <w:tabs>
        <w:tab w:val="clear" w:pos="706"/>
        <w:tab w:val="left" w:pos="284" w:leader="none"/>
      </w:tabs>
      <w:ind w:hanging="284" w:start="284" w:end="0"/>
    </w:pPr>
    <w:rPr/>
  </w:style>
  <w:style w:type="paragraph" w:styleId="ListNumber2">
    <w:name w:val="List Number 2"/>
    <w:basedOn w:val="Normal"/>
    <w:qFormat/>
    <w:pPr>
      <w:numPr>
        <w:ilvl w:val="0"/>
        <w:numId w:val="5"/>
      </w:numPr>
      <w:tabs>
        <w:tab w:val="clear" w:pos="706"/>
        <w:tab w:val="left" w:pos="567" w:leader="none"/>
      </w:tabs>
      <w:ind w:hanging="284" w:start="851" w:end="0"/>
    </w:pPr>
    <w:rPr/>
  </w:style>
  <w:style w:type="paragraph" w:styleId="ListNumber3">
    <w:name w:val="List Number 3"/>
    <w:basedOn w:val="Normal"/>
    <w:qFormat/>
    <w:pPr>
      <w:numPr>
        <w:ilvl w:val="0"/>
        <w:numId w:val="4"/>
      </w:numPr>
      <w:tabs>
        <w:tab w:val="clear" w:pos="706"/>
        <w:tab w:val="left" w:pos="851" w:leader="none"/>
      </w:tabs>
      <w:ind w:hanging="284" w:start="1135" w:end="0"/>
    </w:pPr>
    <w:rPr/>
  </w:style>
  <w:style w:type="paragraph" w:styleId="NormalIndent">
    <w:name w:val="Normal Indent"/>
    <w:basedOn w:val="Normal"/>
    <w:qFormat/>
    <w:pPr>
      <w:ind w:hanging="0" w:start="284" w:end="0"/>
    </w:pPr>
    <w:rPr/>
  </w:style>
  <w:style w:type="paragraph" w:styleId="AAFrameAddress">
    <w:name w:val="AA Frame Address"/>
    <w:basedOn w:val="Heading1"/>
    <w:qFormat/>
    <w:pPr>
      <w:numPr>
        <w:ilvl w:val="0"/>
        <w:numId w:val="0"/>
      </w:numPr>
      <w:shd w:fill="auto" w:val="clear"/>
      <w:spacing w:lineRule="auto" w:line="240" w:before="120" w:after="90"/>
      <w:outlineLvl w:val="9"/>
    </w:pPr>
    <w:rPr>
      <w:lang w:val="en-CA" w:eastAsia="en-CA"/>
    </w:rPr>
  </w:style>
  <w:style w:type="paragraph" w:styleId="ListNumber5">
    <w:name w:val="List Number 5"/>
    <w:basedOn w:val="Normal"/>
    <w:qFormat/>
    <w:pPr>
      <w:numPr>
        <w:ilvl w:val="0"/>
        <w:numId w:val="2"/>
      </w:numPr>
      <w:tabs>
        <w:tab w:val="clear" w:pos="706"/>
        <w:tab w:val="left" w:pos="1418" w:leader="none"/>
      </w:tabs>
      <w:ind w:hanging="284" w:start="1418" w:end="0"/>
    </w:pPr>
    <w:rPr/>
  </w:style>
  <w:style w:type="paragraph" w:styleId="ListNumber4">
    <w:name w:val="List Number 4"/>
    <w:basedOn w:val="Normal"/>
    <w:qFormat/>
    <w:pPr>
      <w:numPr>
        <w:ilvl w:val="0"/>
        <w:numId w:val="3"/>
      </w:numPr>
      <w:tabs>
        <w:tab w:val="clear" w:pos="706"/>
        <w:tab w:val="left" w:pos="1418" w:leader="none"/>
      </w:tabs>
    </w:pPr>
    <w:rPr/>
  </w:style>
  <w:style w:type="paragraph" w:styleId="TableofAuthorities">
    <w:name w:val="Table of Authorities"/>
    <w:basedOn w:val="Normal"/>
    <w:next w:val="Normal"/>
    <w:qFormat/>
    <w:pPr>
      <w:ind w:hanging="284" w:start="284" w:end="0"/>
    </w:pPr>
    <w:rPr/>
  </w:style>
  <w:style w:type="paragraph" w:styleId="Index1">
    <w:name w:val="index 1"/>
    <w:basedOn w:val="Normal"/>
    <w:next w:val="Normal"/>
    <w:pPr>
      <w:ind w:hanging="284" w:start="284" w:end="0"/>
    </w:pPr>
    <w:rPr/>
  </w:style>
  <w:style w:type="paragraph" w:styleId="Index2">
    <w:name w:val="index 2"/>
    <w:basedOn w:val="Normal"/>
    <w:next w:val="Normal"/>
    <w:pPr>
      <w:ind w:hanging="284" w:start="568" w:end="0"/>
    </w:pPr>
    <w:rPr/>
  </w:style>
  <w:style w:type="paragraph" w:styleId="Index3">
    <w:name w:val="index 3"/>
    <w:basedOn w:val="Normal"/>
    <w:next w:val="Normal"/>
    <w:pPr>
      <w:ind w:hanging="284" w:start="851" w:end="0"/>
    </w:pPr>
    <w:rPr/>
  </w:style>
  <w:style w:type="paragraph" w:styleId="Index4">
    <w:name w:val="Index 4"/>
    <w:basedOn w:val="Normal"/>
    <w:next w:val="Normal"/>
    <w:qFormat/>
    <w:pPr>
      <w:ind w:hanging="284" w:start="1135" w:end="0"/>
    </w:pPr>
    <w:rPr/>
  </w:style>
  <w:style w:type="paragraph" w:styleId="Index6">
    <w:name w:val="Index 6"/>
    <w:basedOn w:val="Normal"/>
    <w:next w:val="Normal"/>
    <w:qFormat/>
    <w:pPr>
      <w:ind w:hanging="284" w:start="1702" w:end="0"/>
    </w:pPr>
    <w:rPr/>
  </w:style>
  <w:style w:type="paragraph" w:styleId="Index5">
    <w:name w:val="Index 5"/>
    <w:basedOn w:val="Normal"/>
    <w:next w:val="Normal"/>
    <w:qFormat/>
    <w:pPr>
      <w:ind w:hanging="284" w:start="1418" w:end="0"/>
    </w:pPr>
    <w:rPr/>
  </w:style>
  <w:style w:type="paragraph" w:styleId="Index7">
    <w:name w:val="Index 7"/>
    <w:basedOn w:val="Normal"/>
    <w:next w:val="Normal"/>
    <w:qFormat/>
    <w:pPr>
      <w:ind w:hanging="284" w:start="1985" w:end="0"/>
    </w:pPr>
    <w:rPr/>
  </w:style>
  <w:style w:type="paragraph" w:styleId="Index8">
    <w:name w:val="Index 8"/>
    <w:basedOn w:val="Normal"/>
    <w:next w:val="Normal"/>
    <w:qFormat/>
    <w:pPr>
      <w:ind w:hanging="284" w:start="2269" w:end="0"/>
    </w:pPr>
    <w:rPr/>
  </w:style>
  <w:style w:type="paragraph" w:styleId="Index9">
    <w:name w:val="Index 9"/>
    <w:basedOn w:val="Normal"/>
    <w:next w:val="Normal"/>
    <w:qFormat/>
    <w:pPr>
      <w:ind w:hanging="284" w:start="2552" w:end="0"/>
    </w:pPr>
    <w:rPr/>
  </w:style>
  <w:style w:type="paragraph" w:styleId="TOC2">
    <w:name w:val="toc 2"/>
    <w:basedOn w:val="Normal"/>
    <w:next w:val="Normal"/>
    <w:pPr>
      <w:ind w:hanging="0" w:start="284" w:end="0"/>
    </w:pPr>
    <w:rPr/>
  </w:style>
  <w:style w:type="paragraph" w:styleId="TOC3">
    <w:name w:val="toc 3"/>
    <w:basedOn w:val="Normal"/>
    <w:next w:val="Normal"/>
    <w:pPr>
      <w:ind w:hanging="0" w:start="567" w:end="0"/>
    </w:pPr>
    <w:rPr/>
  </w:style>
  <w:style w:type="paragraph" w:styleId="TOC4">
    <w:name w:val="toc 4"/>
    <w:basedOn w:val="Normal"/>
    <w:next w:val="Normal"/>
    <w:pPr>
      <w:ind w:hanging="0" w:start="851" w:end="0"/>
    </w:pPr>
    <w:rPr/>
  </w:style>
  <w:style w:type="paragraph" w:styleId="TOC5">
    <w:name w:val="toc 5"/>
    <w:basedOn w:val="Normal"/>
    <w:next w:val="Normal"/>
    <w:pPr>
      <w:ind w:hanging="0" w:start="1134" w:end="0"/>
    </w:pPr>
    <w:rPr/>
  </w:style>
  <w:style w:type="paragraph" w:styleId="TOC6">
    <w:name w:val="toc 6"/>
    <w:basedOn w:val="Normal"/>
    <w:next w:val="Normal"/>
    <w:pPr>
      <w:ind w:hanging="0" w:start="1418" w:end="0"/>
    </w:pPr>
    <w:rPr/>
  </w:style>
  <w:style w:type="paragraph" w:styleId="TOC7">
    <w:name w:val="toc 7"/>
    <w:basedOn w:val="Normal"/>
    <w:next w:val="Normal"/>
    <w:pPr>
      <w:ind w:hanging="0" w:start="1701" w:end="0"/>
    </w:pPr>
    <w:rPr/>
  </w:style>
  <w:style w:type="paragraph" w:styleId="TOC8">
    <w:name w:val="toc 8"/>
    <w:basedOn w:val="Normal"/>
    <w:next w:val="Normal"/>
    <w:pPr>
      <w:ind w:hanging="0" w:start="1985" w:end="0"/>
    </w:pPr>
    <w:rPr/>
  </w:style>
  <w:style w:type="paragraph" w:styleId="TOC9">
    <w:name w:val="toc 9"/>
    <w:basedOn w:val="Normal"/>
    <w:next w:val="Normal"/>
    <w:pPr>
      <w:ind w:hanging="0" w:start="2268" w:end="0"/>
    </w:pPr>
    <w:rPr/>
  </w:style>
  <w:style w:type="paragraph" w:styleId="TableofFigures">
    <w:name w:val="Table of Figures"/>
    <w:basedOn w:val="Normal"/>
    <w:next w:val="Normal"/>
    <w:qFormat/>
    <w:pPr>
      <w:ind w:hanging="567" w:start="567" w:end="0"/>
    </w:pPr>
    <w:rPr/>
  </w:style>
  <w:style w:type="paragraph" w:styleId="ListBullet5">
    <w:name w:val="List Bullet 5"/>
    <w:basedOn w:val="Normal"/>
    <w:qFormat/>
    <w:pPr>
      <w:numPr>
        <w:ilvl w:val="0"/>
        <w:numId w:val="6"/>
      </w:numPr>
      <w:tabs>
        <w:tab w:val="clear" w:pos="706"/>
        <w:tab w:val="left" w:pos="1418" w:leader="none"/>
      </w:tabs>
      <w:ind w:hanging="284" w:start="1702" w:end="0"/>
    </w:pPr>
    <w:rPr/>
  </w:style>
  <w:style w:type="paragraph" w:styleId="BodyTextFirstIndent">
    <w:name w:val="Body Text First Indent"/>
    <w:basedOn w:val="BodyText"/>
    <w:qFormat/>
    <w:pPr>
      <w:ind w:firstLine="284" w:start="0" w:end="0"/>
    </w:pPr>
    <w:rPr/>
  </w:style>
  <w:style w:type="paragraph" w:styleId="BodyTextIndent">
    <w:name w:val="Body Text Indent"/>
    <w:basedOn w:val="Normal"/>
    <w:pPr>
      <w:spacing w:before="40" w:after="120"/>
      <w:ind w:hanging="0" w:start="283" w:end="0"/>
    </w:pPr>
    <w:rPr/>
  </w:style>
  <w:style w:type="paragraph" w:styleId="BodyTextFirstIndent2">
    <w:name w:val="Body Text First Indent 2"/>
    <w:basedOn w:val="BodyTextIndent"/>
    <w:qFormat/>
    <w:pPr>
      <w:ind w:firstLine="284" w:start="284" w:end="0"/>
    </w:pPr>
    <w:rPr/>
  </w:style>
  <w:style w:type="paragraph" w:styleId="AAFrameLogo">
    <w:name w:val="AA Frame Logo"/>
    <w:basedOn w:val="Normal"/>
    <w:qFormat/>
    <w:pPr/>
    <w:rPr/>
  </w:style>
  <w:style w:type="paragraph" w:styleId="AA1stlevelbullet">
    <w:name w:val="AA 1st level bullet"/>
    <w:basedOn w:val="Normal"/>
    <w:qFormat/>
    <w:pPr>
      <w:numPr>
        <w:ilvl w:val="0"/>
        <w:numId w:val="13"/>
      </w:numPr>
      <w:tabs>
        <w:tab w:val="clear" w:pos="706"/>
      </w:tabs>
      <w:ind w:hanging="284" w:start="284" w:end="0"/>
    </w:pPr>
    <w:rPr/>
  </w:style>
  <w:style w:type="paragraph" w:styleId="AA2ndlevelbullet">
    <w:name w:val="AA 2nd level bullet"/>
    <w:basedOn w:val="AA1stlevelbullet"/>
    <w:qFormat/>
    <w:pPr>
      <w:numPr>
        <w:ilvl w:val="0"/>
        <w:numId w:val="14"/>
      </w:numPr>
      <w:ind w:hanging="284" w:start="568" w:end="0"/>
    </w:pPr>
    <w:rPr/>
  </w:style>
  <w:style w:type="paragraph" w:styleId="AANumbering">
    <w:name w:val="AA Numbering"/>
    <w:basedOn w:val="Normal"/>
    <w:qFormat/>
    <w:pPr>
      <w:numPr>
        <w:ilvl w:val="0"/>
        <w:numId w:val="12"/>
      </w:numPr>
      <w:ind w:hanging="0" w:start="0" w:end="0"/>
    </w:pPr>
    <w:rPr/>
  </w:style>
  <w:style w:type="paragraph" w:styleId="EnvelopeReturn">
    <w:name w:val="envelope return"/>
    <w:basedOn w:val="Normal"/>
    <w:pPr/>
    <w:rPr>
      <w:rFonts w:ascii="Arial" w:hAnsi="Arial" w:cs="Arial"/>
      <w:sz w:val="20"/>
    </w:rPr>
  </w:style>
  <w:style w:type="paragraph" w:styleId="BodyTextIndent2">
    <w:name w:val="Body Text Indent 2"/>
    <w:basedOn w:val="Normal"/>
    <w:qFormat/>
    <w:pPr>
      <w:spacing w:before="40" w:after="0"/>
      <w:ind w:hanging="0" w:start="1080" w:end="0"/>
    </w:pPr>
    <w:rPr>
      <w:color w:val="0000FF"/>
      <w:sz w:val="24"/>
      <w:szCs w:val="24"/>
    </w:rPr>
  </w:style>
  <w:style w:type="paragraph" w:styleId="BodyText2">
    <w:name w:val="Body Text 2"/>
    <w:basedOn w:val="Normal"/>
    <w:qFormat/>
    <w:pPr>
      <w:autoSpaceDE w:val="false"/>
      <w:spacing w:before="40" w:after="60"/>
    </w:pPr>
    <w:rPr>
      <w:rFonts w:cs="Arial"/>
      <w:b/>
      <w:bCs/>
    </w:rPr>
  </w:style>
  <w:style w:type="paragraph" w:styleId="BodyText3">
    <w:name w:val="Body Text 3"/>
    <w:basedOn w:val="Normal"/>
    <w:qFormat/>
    <w:pPr/>
    <w:rPr>
      <w:rFonts w:cs="Arial"/>
      <w:color w:val="000000"/>
    </w:rPr>
  </w:style>
  <w:style w:type="paragraph" w:styleId="NormalWeb">
    <w:name w:val="Normal (Web)"/>
    <w:basedOn w:val="Normal"/>
    <w:qFormat/>
    <w:pPr>
      <w:spacing w:before="100" w:after="100"/>
    </w:pPr>
    <w:rPr>
      <w:rFonts w:ascii="Arial Unicode MS" w:hAnsi="Arial Unicode MS" w:eastAsia="Arial Unicode MS" w:cs="Arial Unicode MS"/>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2001-09-18T13:47:00Z</dcterms:created>
  <dc:creator>iBuyit</dc:creator>
  <dc:description/>
  <dc:language>en-CA</dc:language>
  <cp:lastModifiedBy>arobert4</cp:lastModifiedBy>
  <cp:lastPrinted>2001-09-13T13:39:00Z</cp:lastPrinted>
  <dcterms:modified xsi:type="dcterms:W3CDTF">2001-09-19T15:37:00Z</dcterms:modified>
  <cp:revision>7</cp:revision>
  <dc:subject/>
  <dc:title>FAQs</dc:title>
</cp:coreProperties>
</file>