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999490" cy="9696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9490" cy="969645"/>
                    </a:xfrm>
                    <a:prstGeom prst="rect">
                      <a:avLst/>
                    </a:prstGeom>
                    <a:noFill/>
                  </pic:spPr>
                </pic:pic>
              </a:graphicData>
            </a:graphic>
          </wp:inline>
        </w:drawing>
      </w:r>
    </w:p>
    <w:p>
      <w:pPr>
        <w:pStyle w:val="Normal"/>
        <w:rPr/>
      </w:pPr>
      <w:r>
        <w:rPr/>
        <w:t>Rich Herweck</w:t>
        <w:tab/>
        <w:tab/>
        <w:tab/>
        <w:tab/>
        <w:tab/>
        <w:tab/>
        <w:tab/>
        <w:tab/>
        <w:tab/>
        <w:t>October 16, 2001</w:t>
      </w:r>
    </w:p>
    <w:p>
      <w:pPr>
        <w:pStyle w:val="Normal"/>
        <w:rPr/>
      </w:pPr>
      <w:r>
        <w:rPr/>
        <w:t>CoServ</w:t>
        <w:tab/>
      </w:r>
    </w:p>
    <w:p>
      <w:pPr>
        <w:pStyle w:val="Normal"/>
        <w:rPr/>
      </w:pPr>
      <w:r>
        <w:rPr/>
        <w:t>7701 South Stemmons</w:t>
      </w:r>
    </w:p>
    <w:p>
      <w:pPr>
        <w:pStyle w:val="Normal"/>
        <w:rPr/>
      </w:pPr>
      <w:r>
        <w:rPr/>
        <w:t>Lake Dallas, TX 75065</w:t>
      </w:r>
    </w:p>
    <w:p>
      <w:pPr>
        <w:pStyle w:val="Normal"/>
        <w:rPr/>
      </w:pPr>
      <w:r>
        <w:rPr/>
      </w:r>
    </w:p>
    <w:p>
      <w:pPr>
        <w:pStyle w:val="Normal"/>
        <w:rPr/>
      </w:pPr>
      <w:r>
        <w:rPr/>
      </w:r>
    </w:p>
    <w:p>
      <w:pPr>
        <w:pStyle w:val="Normal"/>
        <w:rPr/>
      </w:pPr>
      <w:r>
        <w:rPr/>
        <w:t>Dear Rich,</w:t>
      </w:r>
    </w:p>
    <w:p>
      <w:pPr>
        <w:pStyle w:val="Normal"/>
        <w:rPr/>
      </w:pPr>
      <w:r>
        <w:rPr/>
      </w:r>
    </w:p>
    <w:p>
      <w:pPr>
        <w:pStyle w:val="Normal"/>
        <w:rPr/>
      </w:pPr>
      <w:r>
        <w:rPr/>
        <w:t>Attached below is a revised copy of Enron’s proposal for natural gas.  There has been a revision of some of the index prices shown for the next two years and the fixed price gas supply has been added to the proposal.</w:t>
      </w:r>
    </w:p>
    <w:p>
      <w:pPr>
        <w:pStyle w:val="Normal"/>
        <w:rPr/>
      </w:pPr>
      <w:r>
        <w:rPr/>
      </w:r>
    </w:p>
    <w:p>
      <w:pPr>
        <w:pStyle w:val="Normal"/>
        <w:rPr/>
      </w:pPr>
      <w:r>
        <w:rPr/>
        <w:t>If you have any questions on the proposal, please call Gary Bryan or myself at the numbers listed below.  We thank you for the opportunity to respond to your RFP and we look forward to supplying natural gas to CoServ.</w:t>
      </w:r>
    </w:p>
    <w:p>
      <w:pPr>
        <w:pStyle w:val="Normal"/>
        <w:rPr/>
      </w:pPr>
      <w:r>
        <w:rPr/>
      </w:r>
    </w:p>
    <w:p>
      <w:pPr>
        <w:pStyle w:val="Normal"/>
        <w:rPr/>
      </w:pPr>
      <w:r>
        <w:rPr/>
        <w:t>Thank you,</w:t>
      </w:r>
    </w:p>
    <w:p>
      <w:pPr>
        <w:pStyle w:val="Normal"/>
        <w:rPr/>
      </w:pPr>
      <w:r>
        <w:rPr/>
      </w:r>
    </w:p>
    <w:p>
      <w:pPr>
        <w:pStyle w:val="Normal"/>
        <w:rPr/>
      </w:pPr>
      <w:r>
        <w:rPr/>
        <w:t>J.D. Buss</w:t>
      </w:r>
    </w:p>
    <w:p>
      <w:pPr>
        <w:pStyle w:val="Normal"/>
        <w:rPr/>
      </w:pPr>
      <w:r>
        <w:rPr/>
        <w:t>713-853-3851</w:t>
      </w:r>
    </w:p>
    <w:p>
      <w:pPr>
        <w:pStyle w:val="Normal"/>
        <w:rPr/>
      </w:pPr>
      <w:r>
        <w:rPr/>
      </w:r>
    </w:p>
    <w:p>
      <w:pPr>
        <w:pStyle w:val="Normal"/>
        <w:rPr/>
      </w:pPr>
      <w:r>
        <w:rPr/>
        <w:t>Gary Bryan</w:t>
      </w:r>
    </w:p>
    <w:p>
      <w:pPr>
        <w:pStyle w:val="Normal"/>
        <w:rPr/>
      </w:pPr>
      <w:r>
        <w:rPr/>
        <w:t>713-853-6784</w:t>
      </w:r>
      <w:r>
        <w:br w:type="page"/>
      </w:r>
    </w:p>
    <w:p>
      <w:pPr>
        <w:pStyle w:val="Normal"/>
        <w:rPr/>
      </w:pPr>
      <w:r>
        <w:rPr/>
        <w:drawing>
          <wp:inline distT="0" distB="0" distL="0" distR="0">
            <wp:extent cx="999490" cy="96964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9" t="-39" r="-39" b="-39"/>
                    <a:stretch>
                      <a:fillRect/>
                    </a:stretch>
                  </pic:blipFill>
                  <pic:spPr bwMode="auto">
                    <a:xfrm>
                      <a:off x="0" y="0"/>
                      <a:ext cx="999490" cy="969645"/>
                    </a:xfrm>
                    <a:prstGeom prst="rect">
                      <a:avLst/>
                    </a:prstGeom>
                    <a:noFill/>
                  </pic:spPr>
                </pic:pic>
              </a:graphicData>
            </a:graphic>
          </wp:inline>
        </w:drawing>
      </w:r>
    </w:p>
    <w:p>
      <w:pPr>
        <w:pStyle w:val="Normal"/>
        <w:rPr/>
      </w:pPr>
      <w:r>
        <w:rPr/>
        <w:t>Rich Herweck</w:t>
        <w:tab/>
        <w:tab/>
        <w:tab/>
        <w:tab/>
        <w:tab/>
        <w:tab/>
        <w:tab/>
        <w:tab/>
        <w:tab/>
        <w:t>October 16, 2001</w:t>
        <w:tab/>
      </w:r>
    </w:p>
    <w:p>
      <w:pPr>
        <w:pStyle w:val="Normal"/>
        <w:rPr/>
      </w:pPr>
      <w:r>
        <w:rPr/>
        <w:t>CoServ</w:t>
        <w:tab/>
      </w:r>
    </w:p>
    <w:p>
      <w:pPr>
        <w:pStyle w:val="Normal"/>
        <w:rPr/>
      </w:pPr>
      <w:r>
        <w:rPr/>
        <w:t>7701 South Stemmons</w:t>
      </w:r>
    </w:p>
    <w:p>
      <w:pPr>
        <w:pStyle w:val="Normal"/>
        <w:rPr/>
      </w:pPr>
      <w:r>
        <w:rPr/>
        <w:t>Lake Dallas, TX 75065</w:t>
      </w:r>
    </w:p>
    <w:p>
      <w:pPr>
        <w:pStyle w:val="Normal"/>
        <w:rPr/>
      </w:pPr>
      <w:r>
        <w:rPr/>
      </w:r>
    </w:p>
    <w:p>
      <w:pPr>
        <w:pStyle w:val="Normal"/>
        <w:rPr/>
      </w:pPr>
      <w:r>
        <w:rPr/>
        <w:t>Re: Response to Proposal for Natural Gas Supplies</w:t>
      </w:r>
    </w:p>
    <w:p>
      <w:pPr>
        <w:pStyle w:val="Normal"/>
        <w:rPr/>
      </w:pPr>
      <w:r>
        <w:rPr/>
      </w:r>
    </w:p>
    <w:p>
      <w:pPr>
        <w:pStyle w:val="Normal"/>
        <w:rPr/>
      </w:pPr>
      <w:r>
        <w:rPr/>
        <w:t>This letter shall confirm Enron North America (Seller) intent to sell natural gas to CoServ (Buyer) under the following terms.</w:t>
      </w:r>
    </w:p>
    <w:p>
      <w:pPr>
        <w:pStyle w:val="Normal"/>
        <w:rPr/>
      </w:pPr>
      <w:r>
        <w:rPr/>
      </w:r>
    </w:p>
    <w:p>
      <w:pPr>
        <w:pStyle w:val="Normal"/>
        <w:rPr>
          <w:b/>
          <w:bCs/>
        </w:rPr>
      </w:pPr>
      <w:r>
        <w:rPr>
          <w:b/>
          <w:bCs/>
        </w:rPr>
        <w:t>Proposal #1:</w:t>
      </w:r>
    </w:p>
    <w:p>
      <w:pPr>
        <w:pStyle w:val="Normal"/>
        <w:rPr>
          <w:b/>
          <w:bCs/>
        </w:rPr>
      </w:pPr>
      <w:r>
        <w:rPr>
          <w:b/>
          <w:bCs/>
        </w:rPr>
      </w:r>
    </w:p>
    <w:p>
      <w:pPr>
        <w:pStyle w:val="Normal"/>
        <w:rPr/>
      </w:pPr>
      <w:r>
        <w:rPr>
          <w:b/>
          <w:bCs/>
        </w:rPr>
        <w:t>Term:</w:t>
      </w:r>
      <w:r>
        <w:rPr/>
        <w:tab/>
        <w:tab/>
        <w:tab/>
        <w:t>November 01, 2001 through October 31, 2003</w:t>
      </w:r>
    </w:p>
    <w:p>
      <w:pPr>
        <w:pStyle w:val="Normal"/>
        <w:rPr/>
      </w:pPr>
      <w:r>
        <w:rPr/>
      </w:r>
    </w:p>
    <w:p>
      <w:pPr>
        <w:pStyle w:val="Normal"/>
        <w:rPr/>
      </w:pPr>
      <w:r>
        <w:rPr>
          <w:b/>
          <w:bCs/>
        </w:rPr>
        <w:t>Delivery Location:</w:t>
      </w:r>
      <w:r>
        <w:rPr/>
        <w:tab/>
        <w:t>Katy Lonestar</w:t>
      </w:r>
    </w:p>
    <w:p>
      <w:pPr>
        <w:pStyle w:val="Normal"/>
        <w:rPr/>
      </w:pPr>
      <w:r>
        <w:rPr/>
        <w:tab/>
        <w:tab/>
        <w:tab/>
        <w:t>Waha Lonestar</w:t>
      </w:r>
    </w:p>
    <w:p>
      <w:pPr>
        <w:pStyle w:val="Normal"/>
        <w:rPr/>
      </w:pPr>
      <w:r>
        <w:rPr/>
        <w:tab/>
        <w:tab/>
        <w:tab/>
        <w:t>Carthage Lonestar</w:t>
      </w:r>
    </w:p>
    <w:p>
      <w:pPr>
        <w:pStyle w:val="Normal"/>
        <w:ind w:hanging="2160" w:start="2160" w:end="0"/>
        <w:rPr/>
      </w:pPr>
      <w:r>
        <w:rPr/>
      </w:r>
    </w:p>
    <w:p>
      <w:pPr>
        <w:pStyle w:val="Normal"/>
        <w:ind w:hanging="2160" w:start="2160" w:end="0"/>
        <w:rPr/>
      </w:pPr>
      <w:r>
        <w:rPr>
          <w:b/>
          <w:bCs/>
        </w:rPr>
        <w:t>Type of Service:</w:t>
      </w:r>
      <w:r>
        <w:rPr/>
        <w:tab/>
        <w:t>Firm.  It is understood that ENA will supply gas at the above delivery locations and CoServ shall be responsible for pulling gas away from the above delivery locations and into CoServ’s choice of downstream pipelines.</w:t>
      </w:r>
    </w:p>
    <w:p>
      <w:pPr>
        <w:pStyle w:val="Normal"/>
        <w:ind w:hanging="2160" w:start="2160" w:end="0"/>
        <w:rPr/>
      </w:pPr>
      <w:r>
        <w:rPr/>
      </w:r>
    </w:p>
    <w:p>
      <w:pPr>
        <w:pStyle w:val="Normal"/>
        <w:rPr/>
      </w:pPr>
      <w:r>
        <w:rPr/>
        <w:t>Base load Quantity (Daily MMBTU):</w:t>
        <w:tab/>
        <w:tab/>
        <w:tab/>
      </w:r>
    </w:p>
    <w:tbl>
      <w:tblPr>
        <w:tblW w:w="4960" w:type="dxa"/>
        <w:jc w:val="start"/>
        <w:tblInd w:w="0" w:type="dxa"/>
        <w:tblLayout w:type="fixed"/>
        <w:tblCellMar>
          <w:top w:w="17" w:type="dxa"/>
          <w:start w:w="17" w:type="dxa"/>
          <w:bottom w:w="0" w:type="dxa"/>
          <w:end w:w="17" w:type="dxa"/>
        </w:tblCellMar>
      </w:tblPr>
      <w:tblGrid>
        <w:gridCol w:w="188"/>
        <w:gridCol w:w="1892"/>
        <w:gridCol w:w="960"/>
        <w:gridCol w:w="960"/>
        <w:gridCol w:w="960"/>
      </w:tblGrid>
      <w:tr>
        <w:trPr>
          <w:trHeight w:val="255" w:hRule="atLeast"/>
        </w:trPr>
        <w:tc>
          <w:tcPr>
            <w:tcW w:w="2080" w:type="dxa"/>
            <w:gridSpan w:val="2"/>
            <w:tcBorders>
              <w:top w:val="single" w:sz="4" w:space="0" w:color="000000"/>
              <w:start w:val="single" w:sz="4" w:space="0" w:color="000000"/>
            </w:tcBorders>
            <w:shd w:fill="FFFFFF" w:val="clear"/>
            <w:vAlign w:val="bottom"/>
          </w:tcPr>
          <w:p>
            <w:pPr>
              <w:pStyle w:val="Normal"/>
              <w:rPr>
                <w:rFonts w:eastAsia="Arial Unicode MS" w:cs="Arial"/>
              </w:rPr>
            </w:pPr>
            <w:r>
              <w:rPr>
                <w:rFonts w:cs="Arial"/>
              </w:rPr>
              <w:t>Daily Volumes:</w:t>
            </w:r>
          </w:p>
        </w:tc>
        <w:tc>
          <w:tcPr>
            <w:tcW w:w="960" w:type="dxa"/>
            <w:tcBorders>
              <w:top w:val="single" w:sz="4" w:space="0" w:color="000000"/>
            </w:tcBorders>
            <w:shd w:fill="FFFFFF" w:val="clear"/>
            <w:vAlign w:val="bottom"/>
          </w:tcPr>
          <w:p>
            <w:pPr>
              <w:pStyle w:val="Normal"/>
              <w:rPr>
                <w:rFonts w:eastAsia="Arial Unicode MS" w:cs="Arial"/>
              </w:rPr>
            </w:pPr>
            <w:r>
              <w:rPr>
                <w:rFonts w:cs="Arial"/>
              </w:rPr>
              <w:t>Katy</w:t>
            </w:r>
          </w:p>
        </w:tc>
        <w:tc>
          <w:tcPr>
            <w:tcW w:w="960" w:type="dxa"/>
            <w:tcBorders>
              <w:top w:val="single" w:sz="4" w:space="0" w:color="000000"/>
            </w:tcBorders>
            <w:shd w:fill="FFFFFF" w:val="clear"/>
            <w:vAlign w:val="bottom"/>
          </w:tcPr>
          <w:p>
            <w:pPr>
              <w:pStyle w:val="Normal"/>
              <w:rPr>
                <w:rFonts w:eastAsia="Arial Unicode MS" w:cs="Arial"/>
              </w:rPr>
            </w:pPr>
            <w:r>
              <w:rPr>
                <w:rFonts w:cs="Arial"/>
              </w:rPr>
              <w:t>Waha</w:t>
            </w:r>
          </w:p>
        </w:tc>
        <w:tc>
          <w:tcPr>
            <w:tcW w:w="960" w:type="dxa"/>
            <w:tcBorders>
              <w:top w:val="single" w:sz="4" w:space="0" w:color="000000"/>
              <w:end w:val="single" w:sz="4" w:space="0" w:color="000000"/>
            </w:tcBorders>
            <w:shd w:fill="FFFFFF" w:val="clear"/>
            <w:vAlign w:val="bottom"/>
          </w:tcPr>
          <w:p>
            <w:pPr>
              <w:pStyle w:val="Normal"/>
              <w:rPr>
                <w:rFonts w:eastAsia="Arial Unicode MS" w:cs="Arial"/>
              </w:rPr>
            </w:pPr>
            <w:r>
              <w:rPr>
                <w:rFonts w:cs="Arial"/>
              </w:rPr>
              <w:t>Carthage</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11/1/2001</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500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500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500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12/1/2001</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1500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1500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1500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1/1/2002</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2500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2500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2500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2/1/2002</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2300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2300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2300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3/1/2002</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1500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1500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1500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4/1/2002</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1300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1300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1300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5/1/2002</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500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500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500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6/1/2002</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400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400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400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7/1/2002</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300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300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300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8/1/2002</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300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300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300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9/1/2002</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400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400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400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10/1/2002</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500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500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500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11/1/2002</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900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900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900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12/1/2002</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3200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3200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3200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1/1/2003</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5100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5100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5100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2/1/2003</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4400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4400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4400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3/1/2003</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2800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2800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2800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4/1/2003</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2300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2300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2300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5/1/2003</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900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900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900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6/1/2003</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600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600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600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7/1/2003</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500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500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500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8/1/2003</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400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400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400</w:t>
            </w:r>
          </w:p>
        </w:tc>
      </w:tr>
      <w:tr>
        <w:trPr>
          <w:trHeight w:val="255" w:hRule="atLeast"/>
        </w:trPr>
        <w:tc>
          <w:tcPr>
            <w:tcW w:w="188" w:type="dxa"/>
            <w:tcBorders>
              <w:start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9/1/2003</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600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600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600</w:t>
            </w:r>
          </w:p>
        </w:tc>
      </w:tr>
      <w:tr>
        <w:trPr>
          <w:trHeight w:val="255" w:hRule="atLeast"/>
        </w:trPr>
        <w:tc>
          <w:tcPr>
            <w:tcW w:w="188" w:type="dxa"/>
            <w:tcBorders>
              <w:start w:val="single" w:sz="4" w:space="0" w:color="000000"/>
              <w:bottom w:val="single" w:sz="4" w:space="0" w:color="000000"/>
              <w:end w:val="single" w:sz="4" w:space="0" w:color="000000"/>
            </w:tcBorders>
            <w:shd w:fill="FFFFFF" w:val="clear"/>
            <w:vAlign w:val="bottom"/>
          </w:tcPr>
          <w:p>
            <w:pPr>
              <w:pStyle w:val="Normal"/>
              <w:rPr>
                <w:rFonts w:eastAsia="Arial Unicode MS" w:cs="Arial"/>
              </w:rPr>
            </w:pPr>
            <w:r>
              <w:rPr>
                <w:rFonts w:cs="Arial"/>
              </w:rPr>
              <w:t> </w:t>
            </w:r>
          </w:p>
        </w:tc>
        <w:tc>
          <w:tcPr>
            <w:tcW w:w="1892"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10/1/2003</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800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800</w:t>
            </w:r>
          </w:p>
        </w:tc>
        <w:tc>
          <w:tcPr>
            <w:tcW w:w="96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end"/>
              <w:rPr>
                <w:rFonts w:eastAsia="Arial Unicode MS" w:cs="Arial"/>
              </w:rPr>
            </w:pPr>
            <w:r>
              <w:rPr>
                <w:rFonts w:cs="Arial"/>
              </w:rPr>
              <w:t>800</w:t>
            </w:r>
          </w:p>
        </w:tc>
      </w:tr>
    </w:tbl>
    <w:p>
      <w:pPr>
        <w:pStyle w:val="Normal"/>
        <w:rPr/>
      </w:pPr>
      <w:r>
        <w:rPr/>
      </w:r>
    </w:p>
    <w:p>
      <w:pPr>
        <w:pStyle w:val="Normal"/>
        <w:rPr/>
      </w:pPr>
      <w:r>
        <w:rPr/>
      </w:r>
    </w:p>
    <w:p>
      <w:pPr>
        <w:pStyle w:val="Normal"/>
        <w:rPr>
          <w:b/>
          <w:bCs/>
        </w:rPr>
      </w:pPr>
      <w:r>
        <w:rPr>
          <w:b/>
          <w:bCs/>
        </w:rPr>
        <w:t>Swing Tiers and Volumes:</w:t>
      </w:r>
    </w:p>
    <w:p>
      <w:pPr>
        <w:pStyle w:val="Normal"/>
        <w:ind w:firstLine="720" w:start="720" w:end="0"/>
        <w:rPr/>
      </w:pPr>
      <w:r>
        <w:rPr>
          <w:b/>
          <w:bCs/>
        </w:rPr>
        <w:tab/>
      </w:r>
      <w:r>
        <w:rPr/>
        <w:t>Tier 1:</w:t>
        <w:tab/>
        <w:t>Zero to equivalent of daily base load volume at Waha</w:t>
      </w:r>
    </w:p>
    <w:p>
      <w:pPr>
        <w:pStyle w:val="Normal"/>
        <w:ind w:firstLine="720" w:start="1440" w:end="0"/>
        <w:rPr/>
      </w:pPr>
      <w:r>
        <w:rPr/>
        <w:t>Tier 2:</w:t>
        <w:tab/>
        <w:t>Zero to equivalent of daily base load volume at Katy</w:t>
      </w:r>
    </w:p>
    <w:p>
      <w:pPr>
        <w:pStyle w:val="Normal"/>
        <w:ind w:start="2160" w:end="0"/>
        <w:rPr/>
      </w:pPr>
      <w:r>
        <w:rPr/>
        <w:t>Tier 3:</w:t>
        <w:tab/>
        <w:t>Zero to equivalent of daily base load volume at Carthage</w:t>
      </w:r>
    </w:p>
    <w:p>
      <w:pPr>
        <w:pStyle w:val="Normal"/>
        <w:ind w:hanging="720" w:start="3600" w:end="0"/>
        <w:rPr/>
      </w:pPr>
      <w:r>
        <w:rPr/>
      </w:r>
    </w:p>
    <w:p>
      <w:pPr>
        <w:pStyle w:val="Normal"/>
        <w:ind w:firstLine="720" w:start="1440" w:end="0"/>
        <w:rPr/>
      </w:pPr>
      <w:r>
        <w:rPr/>
        <w:t>Swing gas will be provided based on the tiered order presented above.</w:t>
      </w:r>
    </w:p>
    <w:p>
      <w:pPr>
        <w:pStyle w:val="Normal"/>
        <w:rPr/>
      </w:pPr>
      <w:r>
        <w:rPr/>
      </w:r>
    </w:p>
    <w:p>
      <w:pPr>
        <w:pStyle w:val="Normal"/>
        <w:ind w:hanging="2160" w:start="2160" w:end="0"/>
        <w:rPr>
          <w:b/>
          <w:bCs/>
        </w:rPr>
      </w:pPr>
      <w:r>
        <w:rPr>
          <w:b/>
          <w:bCs/>
        </w:rPr>
      </w:r>
    </w:p>
    <w:p>
      <w:pPr>
        <w:pStyle w:val="Normal"/>
        <w:ind w:hanging="2160" w:start="2160" w:end="0"/>
        <w:rPr/>
      </w:pPr>
      <w:r>
        <w:rPr>
          <w:b/>
          <w:bCs/>
        </w:rPr>
        <w:t>Price:</w:t>
      </w:r>
      <w:r>
        <w:rPr/>
        <w:tab/>
        <w:t xml:space="preserve">Base load: </w:t>
        <w:tab/>
        <w:t>Katy Volumes:  Inside FERC Houston Ship Channel minus $.01</w:t>
      </w:r>
    </w:p>
    <w:p>
      <w:pPr>
        <w:pStyle w:val="Normal"/>
        <w:ind w:hanging="2160" w:start="2160" w:end="0"/>
        <w:rPr/>
      </w:pPr>
      <w:r>
        <w:rPr/>
        <w:tab/>
        <w:tab/>
        <w:tab/>
        <w:t>Waha Volumes: Inside FERC Waha plus $.025</w:t>
      </w:r>
    </w:p>
    <w:p>
      <w:pPr>
        <w:pStyle w:val="Normal"/>
        <w:ind w:firstLine="720" w:start="2880" w:end="0"/>
        <w:rPr/>
      </w:pPr>
      <w:r>
        <w:rPr/>
        <w:t>Carthage Volumes:  Inside FERC Houston Ship Channel minus $.06</w:t>
      </w:r>
    </w:p>
    <w:p>
      <w:pPr>
        <w:pStyle w:val="Normal"/>
        <w:ind w:hanging="2160" w:start="2160" w:end="0"/>
        <w:rPr/>
      </w:pPr>
      <w:r>
        <w:rPr/>
      </w:r>
    </w:p>
    <w:p>
      <w:pPr>
        <w:pStyle w:val="Normal"/>
        <w:ind w:start="2160" w:end="0"/>
        <w:rPr/>
      </w:pPr>
      <w:r>
        <w:rPr/>
        <w:t>Swing:</w:t>
        <w:tab/>
        <w:t>Tier 1:</w:t>
        <w:tab/>
        <w:t>Gas Daily Tex intras, Waha area Mid-point plus $.04 for all volumes</w:t>
      </w:r>
    </w:p>
    <w:p>
      <w:pPr>
        <w:pStyle w:val="BodyTextIndent"/>
        <w:rPr/>
      </w:pPr>
      <w:r>
        <w:rPr/>
        <w:t>Tier 2:</w:t>
        <w:tab/>
        <w:t>Gas Daily Katy plant tailgate Mid-point plus $.03 for all volumes</w:t>
        <w:tab/>
        <w:t>Tier 3:</w:t>
        <w:tab/>
        <w:t>Gas Daily Carthage Hub tailgate Mid-point plus $.03 for all volumes</w:t>
      </w:r>
    </w:p>
    <w:p>
      <w:pPr>
        <w:pStyle w:val="Normal"/>
        <w:ind w:hanging="2160" w:start="2160" w:end="0"/>
        <w:rPr/>
      </w:pPr>
      <w:r>
        <w:rPr/>
      </w:r>
    </w:p>
    <w:p>
      <w:pPr>
        <w:pStyle w:val="Normal"/>
        <w:ind w:hanging="2160" w:start="2160" w:end="0"/>
        <w:rPr/>
      </w:pPr>
      <w:r>
        <w:rPr>
          <w:b/>
          <w:bCs/>
        </w:rPr>
        <w:t>Nomination:</w:t>
      </w:r>
      <w:r>
        <w:rPr/>
        <w:tab/>
        <w:t xml:space="preserve">Gas Daily nominations are due one-day prior to flow by 8:00 AM with weekend nominations made on Friday for Saturday, Sunday and Monday. </w:t>
      </w:r>
    </w:p>
    <w:p>
      <w:pPr>
        <w:pStyle w:val="Normal"/>
        <w:ind w:firstLine="720" w:start="1440" w:end="0"/>
        <w:rPr/>
      </w:pPr>
      <w:r>
        <w:rPr/>
      </w:r>
    </w:p>
    <w:p>
      <w:pPr>
        <w:pStyle w:val="Normal"/>
        <w:rPr>
          <w:b/>
          <w:bCs/>
        </w:rPr>
      </w:pPr>
      <w:r>
        <w:rPr>
          <w:b/>
          <w:bCs/>
        </w:rPr>
        <w:t>Proposal #2:</w:t>
      </w:r>
    </w:p>
    <w:p>
      <w:pPr>
        <w:pStyle w:val="Normal"/>
        <w:rPr>
          <w:b/>
          <w:bCs/>
        </w:rPr>
      </w:pPr>
      <w:r>
        <w:rPr>
          <w:b/>
          <w:bCs/>
        </w:rPr>
      </w:r>
    </w:p>
    <w:p>
      <w:pPr>
        <w:pStyle w:val="Normal"/>
        <w:rPr/>
      </w:pPr>
      <w:r>
        <w:rPr>
          <w:b/>
          <w:bCs/>
        </w:rPr>
        <w:t>Term:</w:t>
      </w:r>
      <w:r>
        <w:rPr/>
        <w:tab/>
        <w:tab/>
        <w:tab/>
        <w:t>November 01, 2001 through October 31, 2002</w:t>
      </w:r>
    </w:p>
    <w:p>
      <w:pPr>
        <w:pStyle w:val="Normal"/>
        <w:rPr/>
      </w:pPr>
      <w:r>
        <w:rPr/>
      </w:r>
    </w:p>
    <w:p>
      <w:pPr>
        <w:pStyle w:val="Normal"/>
        <w:rPr/>
      </w:pPr>
      <w:r>
        <w:rPr>
          <w:b/>
          <w:bCs/>
        </w:rPr>
        <w:t>Delivery Location:</w:t>
      </w:r>
      <w:r>
        <w:rPr/>
        <w:tab/>
        <w:t>Waha Lonestar</w:t>
      </w:r>
    </w:p>
    <w:p>
      <w:pPr>
        <w:pStyle w:val="Normal"/>
        <w:rPr/>
      </w:pPr>
      <w:r>
        <w:rPr/>
        <w:tab/>
        <w:tab/>
        <w:tab/>
      </w:r>
    </w:p>
    <w:p>
      <w:pPr>
        <w:pStyle w:val="Normal"/>
        <w:ind w:hanging="2160" w:start="2160" w:end="0"/>
        <w:rPr/>
      </w:pPr>
      <w:r>
        <w:rPr>
          <w:b/>
          <w:bCs/>
        </w:rPr>
        <w:t>Type of Service:</w:t>
      </w:r>
      <w:r>
        <w:rPr/>
        <w:tab/>
        <w:t>Firm.  It is understood that ENA will supply gas at the above delivery location and CoServ shall be responsible for pulling gas away from the above delivery location and into CoServ’s choice of downstream pipelines.</w:t>
      </w:r>
    </w:p>
    <w:p>
      <w:pPr>
        <w:pStyle w:val="Normal"/>
        <w:rPr/>
      </w:pPr>
      <w:r>
        <w:rPr/>
      </w:r>
    </w:p>
    <w:p>
      <w:pPr>
        <w:pStyle w:val="Normal"/>
        <w:rPr/>
      </w:pPr>
      <w:r>
        <w:rPr>
          <w:b/>
          <w:bCs/>
        </w:rPr>
        <w:t>Volume:</w:t>
        <w:tab/>
        <w:tab/>
      </w:r>
      <w:r>
        <w:rPr/>
        <w:t>20,000 Mmbtu per month</w:t>
      </w:r>
    </w:p>
    <w:p>
      <w:pPr>
        <w:pStyle w:val="Normal"/>
        <w:rPr/>
      </w:pPr>
      <w:r>
        <w:rPr/>
      </w:r>
    </w:p>
    <w:p>
      <w:pPr>
        <w:pStyle w:val="Normal"/>
        <w:rPr/>
      </w:pPr>
      <w:r>
        <w:rPr>
          <w:b/>
          <w:bCs/>
        </w:rPr>
        <w:t>Price:</w:t>
      </w:r>
      <w:r>
        <w:rPr/>
        <w:tab/>
        <w:tab/>
        <w:tab/>
        <w:t>$2.8775 per Mmbtu</w:t>
      </w:r>
    </w:p>
    <w:p>
      <w:pPr>
        <w:pStyle w:val="Normal"/>
        <w:rPr/>
      </w:pPr>
      <w:r>
        <w:rPr/>
      </w:r>
    </w:p>
    <w:p>
      <w:pPr>
        <w:pStyle w:val="Normal"/>
        <w:ind w:firstLine="720" w:start="1440" w:end="0"/>
        <w:rPr/>
      </w:pPr>
      <w:r>
        <w:rPr/>
        <w:t xml:space="preserve"> </w:t>
      </w:r>
    </w:p>
    <w:p>
      <w:pPr>
        <w:pStyle w:val="Normal"/>
        <w:rPr>
          <w:i/>
          <w:i/>
        </w:rPr>
      </w:pPr>
      <w:r>
        <w:rPr>
          <w:i/>
        </w:rPr>
        <w:t>This offer is for discussion purposes only and is not intended to be complete and all-inclusive of the terms of the related transaction.  This is not an offer or a commitment of Enron North America or any parent or affiliate of Enron North America.  The transaction described herein is subject to further review and approval of Enron North America and execution of definitive agreements containing all appropriate provisions, including those relating to credit and limitation of damages.</w:t>
      </w:r>
    </w:p>
    <w:p>
      <w:pPr>
        <w:pStyle w:val="Normal"/>
        <w:rPr>
          <w:i/>
          <w:i/>
        </w:rPr>
      </w:pPr>
      <w:r>
        <w:rPr>
          <w:i/>
        </w:rPr>
      </w:r>
    </w:p>
    <w:p>
      <w:pPr>
        <w:pStyle w:val="Normal"/>
        <w:rPr>
          <w:i/>
          <w:i/>
        </w:rPr>
      </w:pPr>
      <w:r>
        <w:rPr>
          <w:i/>
        </w:rPr>
        <w:t>Gary Bryan</w:t>
      </w:r>
    </w:p>
    <w:p>
      <w:pPr>
        <w:pStyle w:val="Normal"/>
        <w:rPr>
          <w:i/>
          <w:i/>
        </w:rPr>
      </w:pPr>
      <w:r>
        <w:rPr>
          <w:i/>
        </w:rPr>
        <w:t>(713) 853-6784</w:t>
      </w:r>
    </w:p>
    <w:p>
      <w:pPr>
        <w:pStyle w:val="Normal"/>
        <w:rPr>
          <w:i/>
          <w:i/>
        </w:rPr>
      </w:pPr>
      <w:r>
        <w:rPr>
          <w:i/>
        </w:rPr>
      </w:r>
    </w:p>
    <w:p>
      <w:pPr>
        <w:pStyle w:val="Normal"/>
        <w:rPr>
          <w:i/>
          <w:i/>
        </w:rPr>
      </w:pPr>
      <w:r>
        <w:rPr>
          <w:i/>
        </w:rPr>
        <w:t>J.D. Buss</w:t>
      </w:r>
    </w:p>
    <w:p>
      <w:pPr>
        <w:pStyle w:val="Normal"/>
        <w:rPr>
          <w:b/>
        </w:rPr>
      </w:pPr>
      <w:r>
        <w:rPr>
          <w:i/>
        </w:rPr>
        <w:t>(713 853-3851</w:t>
      </w:r>
    </w:p>
    <w:p>
      <w:pPr>
        <w:pStyle w:val="Normal"/>
        <w:rPr>
          <w:b/>
        </w:rPr>
      </w:pPr>
      <w:r>
        <w:rPr>
          <w:b/>
        </w:rPr>
      </w:r>
    </w:p>
    <w:sectPr>
      <w:type w:val="nextPage"/>
      <w:pgSz w:w="12240" w:h="15840"/>
      <w:pgMar w:left="1584" w:right="1440" w:gutter="0" w:header="0" w:top="108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2001-10-16T16:48:00Z</dcterms:created>
  <dc:creator>jw</dc:creator>
  <dc:description/>
  <dc:language>en-CA</dc:language>
  <cp:lastModifiedBy>jbuss</cp:lastModifiedBy>
  <cp:lastPrinted>2001-09-14T12:22:00Z</cp:lastPrinted>
  <dcterms:modified xsi:type="dcterms:W3CDTF">2001-10-16T17:17:00Z</dcterms:modified>
  <cp:revision>4</cp:revision>
  <dc:subject/>
  <dc:title>March 4, 1999</dc:title>
</cp:coreProperties>
</file>