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480"/>
        <w:rPr>
          <w:lang w:val="en-CA" w:eastAsia="en-CA"/>
        </w:rPr>
      </w:pPr>
      <w:r>
        <mc:AlternateContent>
          <mc:Choice Requires="wpg">
            <w:drawing>
              <wp:anchor behindDoc="0" distT="0" distB="0" distL="114935" distR="114935" simplePos="0" locked="0" layoutInCell="0" allowOverlap="1" relativeHeight="15">
                <wp:simplePos x="0" y="0"/>
                <wp:positionH relativeFrom="page">
                  <wp:posOffset>1391920</wp:posOffset>
                </wp:positionH>
                <wp:positionV relativeFrom="page">
                  <wp:posOffset>6693535</wp:posOffset>
                </wp:positionV>
                <wp:extent cx="1550670" cy="2171065"/>
                <wp:effectExtent l="0" t="0" r="0" b="0"/>
                <wp:wrapNone/>
                <wp:docPr id="1" name=""/>
                <a:graphic xmlns:a="http://schemas.openxmlformats.org/drawingml/2006/main">
                  <a:graphicData uri="http://schemas.microsoft.com/office/word/2010/wordprocessingGroup">
                    <wpg:wgp>
                      <wpg:cNvGrpSpPr/>
                      <wpg:grpSpPr>
                        <a:xfrm>
                          <a:off x="0" y="0"/>
                          <a:ext cx="1550520" cy="2171160"/>
                          <a:chOff x="0" y="0"/>
                          <a:chExt cx="1550520" cy="2171160"/>
                        </a:xfrm>
                      </wpg:grpSpPr>
                      <wps:wsp>
                        <wps:cNvSpPr txBox="1"/>
                        <wps:spPr>
                          <a:xfrm>
                            <a:off x="0" y="1820520"/>
                            <a:ext cx="1550520" cy="350640"/>
                          </a:xfrm>
                          <a:prstGeom prst="rect">
                            <a:avLst/>
                          </a:prstGeom>
                          <a:noFill/>
                          <a:ln w="0">
                            <a:noFill/>
                          </a:ln>
                        </wps:spPr>
                        <wps:txbx>
                          <w:txbxContent>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Head Office:  203.637.1092</w:t>
                              </w:r>
                            </w:p>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Texas:  281.360.7822</w:t>
                              </w:r>
                            </w:p>
                          </w:txbxContent>
                        </wps:txbx>
                        <wps:bodyPr wrap="square" lIns="0" rIns="0" tIns="0" bIns="0" anchor="t">
                          <a:noAutofit/>
                        </wps:bodyPr>
                      </wps:wsp>
                      <pic:pic xmlns:pic="http://schemas.openxmlformats.org/drawingml/2006/picture">
                        <pic:nvPicPr>
                          <pic:cNvPr id="2" name="Paradigm%20LOGO%20PMS021" descr=""/>
                          <pic:cNvPicPr/>
                        </pic:nvPicPr>
                        <pic:blipFill>
                          <a:blip r:embed="rId2"/>
                          <a:stretch/>
                        </pic:blipFill>
                        <pic:spPr>
                          <a:xfrm>
                            <a:off x="9360" y="0"/>
                            <a:ext cx="1427400" cy="1776240"/>
                          </a:xfrm>
                          <a:prstGeom prst="rect">
                            <a:avLst/>
                          </a:prstGeom>
                          <a:noFill/>
                          <a:ln w="0">
                            <a:noFill/>
                          </a:ln>
                        </pic:spPr>
                      </pic:pic>
                    </wpg:wgp>
                  </a:graphicData>
                </a:graphic>
              </wp:anchor>
            </w:drawing>
          </mc:Choice>
          <mc:Fallback>
            <w:pict>
              <v:group id="shape_0" style="position:absolute;margin-left:109.6pt;margin-top:527.05pt;width:122.1pt;height:170.95pt" coordorigin="2192,10541" coordsize="2442,3419">
                <v:shapetype id="_x0000_t202" coordsize="21600,21600" o:spt="202" path="m,l,21600l21600,21600l21600,xe">
                  <v:stroke joinstyle="miter"/>
                  <v:path gradientshapeok="t" o:connecttype="rect"/>
                </v:shapetype>
                <v:shape id="shape_0" stroked="f" o:allowincell="f" style="position:absolute;left:2192;top:13408;width:2441;height:551;mso-wrap-style:square;v-text-anchor:top;mso-position-horizontal-relative:page;mso-position-vertical-relative:page" type="_x0000_t202">
                  <v:textbox>
                    <w:txbxContent>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Head Office:  203.637.1092</w:t>
                        </w:r>
                      </w:p>
                      <w:p>
                        <w:pPr>
                          <w:overflowPunct w:val="false"/>
                          <w:bidi w:val="0"/>
                          <w:spacing w:before="60" w:after="0"/>
                          <w:ind w:start="1166" w:end="0" w:hanging="1166"/>
                          <w:rPr/>
                        </w:pPr>
                        <w:r>
                          <w:rPr>
                            <w:kern w:val="2"/>
                            <w:sz w:val="16"/>
                            <w:szCs w:val="20"/>
                            <w:rFonts w:ascii="Swis721 Ex BT;Zurich Ex BT" w:hAnsi="Swis721 Ex BT;Zurich Ex BT" w:eastAsia="Times New Roman" w:cs="Swis721 Ex BT;Zurich Ex BT"/>
                            <w:color w:val="auto"/>
                            <w:lang w:val="en-US" w:bidi="ar-SA"/>
                          </w:rPr>
                          <w:t>Texas:  281.360.7822</w:t>
                        </w:r>
                      </w:p>
                    </w:txbxContent>
                  </v:textbox>
                  <v:fill o:detectmouseclick="t" on="false"/>
                  <v:stroke color="#3465a4" joinstyle="round"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aradigm%20LOGO%20PMS021" stroked="f" o:allowincell="f" style="position:absolute;left:2206;top:10541;width:2247;height:2796;mso-wrap-style:none;v-text-anchor:middle;mso-position-horizontal-relative:page;mso-position-vertical-relative:page" type="_x0000_t75">
                  <v:imagedata r:id="rId3" o:detectmouseclick="t"/>
                  <v:stroke color="#3465a4" joinstyle="round" endcap="flat"/>
                  <w10:wrap type="none"/>
                </v:shape>
              </v:group>
            </w:pict>
          </mc:Fallback>
        </mc:AlternateContent>
      </w:r>
      <w:r>
        <w:rPr>
          <w:lang w:val="en-CA" w:eastAsia="en-CA"/>
        </w:rPr>
        <w:t>Derivatives I</w:t>
      </w:r>
    </w:p>
    <w:p>
      <w:pPr>
        <w:pStyle w:val="Heading"/>
        <w:rPr>
          <w:lang w:val="en-CA" w:eastAsia="en-CA"/>
        </w:rPr>
      </w:pPr>
      <w:r>
        <w:rPr>
          <w:lang w:val="en-CA" w:eastAsia="en-CA"/>
        </w:rPr>
        <w:t>Review Quiz:</w:t>
        <w:br/>
        <w:t>Price Curves &amp; Swaps</w:t>
      </w:r>
    </w:p>
    <w:p>
      <w:pPr>
        <w:pStyle w:val="Heading"/>
        <w:rPr>
          <w:lang w:val="en-CA" w:eastAsia="en-CA"/>
        </w:rPr>
      </w:pPr>
      <w:r>
        <w:rPr>
          <w:lang w:val="en-CA" w:eastAsia="en-CA"/>
        </w:rPr>
      </w:r>
    </w:p>
    <w:p>
      <w:pPr>
        <w:pStyle w:val="Normal"/>
        <w:rPr>
          <w:lang w:val="en-CA" w:eastAsia="en-CA"/>
        </w:rPr>
      </w:pPr>
      <w:r>
        <w:rPr>
          <w:lang w:val="en-CA" w:eastAsia="en-CA"/>
        </w:rPr>
      </w:r>
    </w:p>
    <w:p>
      <w:pPr>
        <w:sectPr>
          <w:type w:val="nextPage"/>
          <w:pgSz w:w="12240" w:h="15840"/>
          <w:pgMar w:left="2160" w:right="1800" w:gutter="0" w:header="0" w:top="3600" w:footer="0" w:bottom="1440"/>
          <w:pgNumType w:fmt="decimal"/>
          <w:formProt w:val="false"/>
          <w:textDirection w:val="lrTb"/>
          <w:docGrid w:type="default" w:linePitch="360" w:charSpace="0"/>
        </w:sectPr>
        <w:pStyle w:val="Subtitle"/>
        <w:tabs>
          <w:tab w:val="clear" w:pos="720"/>
          <w:tab w:val="left" w:pos="3600" w:leader="none"/>
        </w:tabs>
        <w:rPr/>
      </w:pPr>
      <w:r>
        <w:rPr/>
      </w:r>
    </w:p>
    <w:p>
      <w:pPr>
        <w:pStyle w:val="Normal"/>
        <w:ind w:start="360" w:end="0"/>
        <w:rPr/>
      </w:pPr>
      <w:r>
        <w:rPr/>
        <w:drawing>
          <wp:inline distT="0" distB="0" distL="0" distR="0">
            <wp:extent cx="3700780" cy="16179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6" t="-15" r="-6" b="-15"/>
                    <a:stretch>
                      <a:fillRect/>
                    </a:stretch>
                  </pic:blipFill>
                  <pic:spPr bwMode="auto">
                    <a:xfrm>
                      <a:off x="0" y="0"/>
                      <a:ext cx="3700780" cy="1617980"/>
                    </a:xfrm>
                    <a:prstGeom prst="rect">
                      <a:avLst/>
                    </a:prstGeom>
                    <a:noFill/>
                  </pic:spPr>
                </pic:pic>
              </a:graphicData>
            </a:graphic>
          </wp:inline>
        </w:drawing>
      </w:r>
    </w:p>
    <w:p>
      <w:pPr>
        <w:pStyle w:val="Normal"/>
        <w:numPr>
          <w:ilvl w:val="0"/>
          <w:numId w:val="2"/>
        </w:numPr>
        <w:spacing w:before="360" w:after="240"/>
        <w:rPr/>
      </w:pPr>
      <w:r>
        <w:rPr/>
        <w:t xml:space="preserve">The shape of the Price Curve above is called </w:t>
      </w:r>
      <w:r>
        <w:rPr>
          <w:b/>
          <w:u w:val="single"/>
        </w:rPr>
        <w:t xml:space="preserve">                           </w:t>
      </w:r>
      <w:r>
        <w:rPr/>
        <w:t>.</w:t>
      </w:r>
    </w:p>
    <w:p>
      <w:pPr>
        <w:pStyle w:val="Normal"/>
        <w:numPr>
          <w:ilvl w:val="0"/>
          <w:numId w:val="2"/>
        </w:numPr>
        <w:spacing w:before="360" w:after="240"/>
        <w:rPr/>
      </w:pPr>
      <w:r>
        <w:rPr/>
        <w:t>A price curve for natural gas based on arbitrage-free forward prices would be:</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Contango</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Backwardated</w:t>
      </w:r>
    </w:p>
    <w:p>
      <w:pPr>
        <w:pStyle w:val="Normal"/>
        <w:tabs>
          <w:tab w:val="center" w:pos="720" w:leader="none"/>
          <w:tab w:val="right" w:pos="1080" w:leader="none"/>
          <w:tab w:val="left" w:pos="1800" w:leader="none"/>
        </w:tabs>
        <w:spacing w:lineRule="exact" w:line="280" w:before="60" w:after="240"/>
        <w:ind w:hanging="907" w:start="1267" w:end="0"/>
        <w:rPr/>
      </w:pPr>
      <w:r>
        <w:rPr>
          <w:rFonts w:cs="Swis721 BT;Arial" w:ascii="Swis721 BT;Arial" w:hAnsi="Swis721 BT;Arial"/>
          <w:b/>
          <w:u w:val="single"/>
        </w:rPr>
        <w:tab/>
        <w:tab/>
      </w:r>
      <w:r>
        <w:rPr/>
        <w:tab/>
        <w:t>(C)</w:t>
        <w:tab/>
        <w:t>Either Contango or Backwardated</w:t>
      </w:r>
    </w:p>
    <w:p>
      <w:pPr>
        <w:pStyle w:val="Heading5"/>
        <w:rPr/>
      </w:pPr>
      <w:r>
        <w:rPr/>
      </w:r>
    </w:p>
    <w:p>
      <w:pPr>
        <w:pStyle w:val="Normal"/>
        <w:ind w:start="720" w:end="0"/>
        <w:rPr/>
      </w:pPr>
      <w:r>
        <w:rPr/>
      </w:r>
    </w:p>
    <w:p>
      <w:pPr>
        <w:pStyle w:val="Normal"/>
        <w:keepNext w:val="true"/>
        <w:numPr>
          <w:ilvl w:val="0"/>
          <w:numId w:val="2"/>
        </w:numPr>
        <w:spacing w:before="360" w:after="240"/>
        <w:rPr/>
      </w:pPr>
      <w:r>
        <w:rPr/>
        <w:t>An audit of a natural gas producer that sells gas under long term contracts and that marks-to-market those sales contracts, determines that the price curve being used is incorrect.  The company’s contango price curve is too steep with the market curve being less steep.  The producer has sold swaps to fix its natural gas sales (the producer does not mark-to-market natural gas inventories in the ground).  The resulting restatement of earnings would result in a reported:</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Loss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Gain</w:t>
      </w:r>
    </w:p>
    <w:p>
      <w:pPr>
        <w:pStyle w:val="Normal"/>
        <w:tabs>
          <w:tab w:val="center" w:pos="720" w:leader="none"/>
          <w:tab w:val="right" w:pos="1080" w:leader="none"/>
          <w:tab w:val="left" w:pos="1800" w:leader="none"/>
        </w:tabs>
        <w:spacing w:lineRule="exact" w:line="280" w:before="60" w:after="240"/>
        <w:ind w:hanging="907" w:start="1267" w:end="0"/>
        <w:rPr/>
      </w:pPr>
      <w:r>
        <w:rPr>
          <w:rFonts w:cs="Swis721 BT;Arial" w:ascii="Swis721 BT;Arial" w:hAnsi="Swis721 BT;Arial"/>
          <w:b/>
          <w:u w:val="single"/>
        </w:rPr>
        <w:tab/>
        <w:tab/>
      </w:r>
      <w:r>
        <w:rPr/>
        <w:tab/>
        <w:t>(C)</w:t>
        <w:tab/>
        <w:t>Not determinable</w:t>
      </w:r>
    </w:p>
    <w:p>
      <w:pPr>
        <w:pStyle w:val="Heading5"/>
        <w:rPr/>
      </w:pPr>
      <w:r>
        <w:rPr/>
      </w:r>
    </w:p>
    <w:p>
      <w:pPr>
        <w:pStyle w:val="Normal"/>
        <w:ind w:start="720" w:end="0"/>
        <w:rPr/>
      </w:pPr>
      <w:r>
        <w:rPr/>
        <w:br/>
      </w:r>
    </w:p>
    <w:p>
      <w:pPr>
        <w:pStyle w:val="Normal"/>
        <w:numPr>
          <w:ilvl w:val="0"/>
          <w:numId w:val="2"/>
        </w:numPr>
        <w:spacing w:before="360" w:after="240"/>
        <w:rPr/>
      </w:pPr>
      <w:r>
        <w:rPr/>
        <w:t>A gas marketer is contracting to deliver gas priced at $4.00/MMBtu in three months.  To meet delivery the marketer can buy three-month forward gas at $3.75/MMBtu, when spot gas is priced at $3.50.  The marketer is confident in its forecast of $3.80 for gas in three months.  Financing costs are 8.0%.  Storage cost run $0.05/month per MMBtu.  How can the marketer minimize its cost of purchasing natural gas for this contract?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Buy forward</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Do nothing</w:t>
      </w:r>
    </w:p>
    <w:p>
      <w:pPr>
        <w:pStyle w:val="Normal"/>
        <w:tabs>
          <w:tab w:val="center" w:pos="720" w:leader="none"/>
          <w:tab w:val="right" w:pos="1080" w:leader="none"/>
          <w:tab w:val="left" w:pos="1800" w:leader="none"/>
        </w:tabs>
        <w:spacing w:lineRule="exact" w:line="280" w:before="60" w:after="240"/>
        <w:ind w:hanging="907" w:start="1267" w:end="0"/>
        <w:rPr/>
      </w:pPr>
      <w:r>
        <w:rPr>
          <w:rFonts w:cs="Swis721 BT;Arial" w:ascii="Swis721 BT;Arial" w:hAnsi="Swis721 BT;Arial"/>
          <w:b/>
          <w:u w:val="single"/>
        </w:rPr>
        <w:tab/>
        <w:tab/>
      </w:r>
      <w:r>
        <w:rPr/>
        <w:tab/>
        <w:t>(C)</w:t>
        <w:tab/>
        <w:t>Buy spot, store and finance</w:t>
      </w:r>
    </w:p>
    <w:p>
      <w:pPr>
        <w:pStyle w:val="Heading5"/>
        <w:rPr/>
      </w:pPr>
      <w:r>
        <w:rPr/>
      </w:r>
    </w:p>
    <w:p>
      <w:pPr>
        <w:pStyle w:val="Normal"/>
        <w:ind w:start="720" w:end="0"/>
        <w:rPr/>
      </w:pPr>
      <w:r>
        <w:rPr/>
        <w:br/>
      </w:r>
    </w:p>
    <w:p>
      <w:pPr>
        <w:pStyle w:val="Normal"/>
        <w:tabs>
          <w:tab w:val="clear" w:pos="720"/>
          <w:tab w:val="left" w:pos="252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br/>
      </w:r>
    </w:p>
    <w:p>
      <w:pPr>
        <w:pStyle w:val="Normal"/>
        <w:tabs>
          <w:tab w:val="clear" w:pos="720"/>
          <w:tab w:val="left" w:pos="252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br/>
      </w:r>
    </w:p>
    <w:p>
      <w:pPr>
        <w:pStyle w:val="Normal"/>
        <w:tabs>
          <w:tab w:val="clear" w:pos="720"/>
          <w:tab w:val="left" w:pos="2520" w:leader="none"/>
          <w:tab w:val="left" w:pos="468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r>
    </w:p>
    <w:p>
      <w:pPr>
        <w:pStyle w:val="Normal"/>
        <w:tabs>
          <w:tab w:val="clear" w:pos="720"/>
          <w:tab w:val="left" w:pos="2520" w:leader="none"/>
          <w:tab w:val="left" w:pos="468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tab/>
      </w:r>
    </w:p>
    <w:p>
      <w:pPr>
        <w:pStyle w:val="Normal"/>
        <w:tabs>
          <w:tab w:val="clear" w:pos="720"/>
          <w:tab w:val="left" w:pos="2520" w:leader="none"/>
          <w:tab w:val="left" w:pos="468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tab/>
      </w:r>
    </w:p>
    <w:p>
      <w:pPr>
        <w:pStyle w:val="Normal"/>
        <w:tabs>
          <w:tab w:val="clear" w:pos="720"/>
          <w:tab w:val="left" w:pos="2520" w:leader="none"/>
          <w:tab w:val="left" w:pos="4680" w:leader="none"/>
        </w:tabs>
        <w:spacing w:lineRule="atLeast" w:line="280" w:before="60" w:after="0"/>
        <w:ind w:start="720" w:end="0"/>
        <w:rPr>
          <w:rFonts w:ascii="Swis721 BT;Arial" w:hAnsi="Swis721 BT;Arial" w:cs="Swis721 BT;Arial"/>
          <w:sz w:val="22"/>
        </w:rPr>
      </w:pPr>
      <w:r>
        <w:rPr>
          <w:rFonts w:cs="Swis721 BT;Arial" w:ascii="Swis721 BT;Arial" w:hAnsi="Swis721 BT;Arial"/>
          <w:sz w:val="22"/>
        </w:rPr>
        <w:tab/>
        <w:tab/>
        <w:tab/>
        <w:tab/>
      </w:r>
    </w:p>
    <w:p>
      <w:pPr>
        <w:pStyle w:val="Normal"/>
        <w:numPr>
          <w:ilvl w:val="0"/>
          <w:numId w:val="2"/>
        </w:numPr>
        <w:spacing w:before="360" w:after="240"/>
        <w:rPr/>
      </w:pPr>
      <w:r>
        <w:rPr/>
        <w:t xml:space="preserve">Which of the explanations below is </w:t>
      </w:r>
      <w:r>
        <w:rPr>
          <w:u w:val="single"/>
        </w:rPr>
        <w:t>not</w:t>
      </w:r>
      <w:r>
        <w:rPr/>
        <w:t xml:space="preserve"> a reason why forward prices of energy can diverge from arbitrage-free (cost-of-carry) prices?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Producers’ need for cash-flow stability in order to access financing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Fear of supply disruption</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Limited inventories available for arbitrage</w:t>
      </w:r>
    </w:p>
    <w:p>
      <w:pPr>
        <w:pStyle w:val="Normal"/>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(D)</w:t>
        <w:tab/>
        <w:t>Cash Liquidity from investors seeking high investment yields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(E)</w:t>
        <w:tab/>
        <w:t>Inability to Store</w:t>
      </w:r>
    </w:p>
    <w:p>
      <w:pPr>
        <w:pStyle w:val="Heading5"/>
        <w:rPr/>
      </w:pPr>
      <w:r>
        <w:rPr/>
      </w:r>
    </w:p>
    <w:p>
      <w:pPr>
        <w:pStyle w:val="Normal"/>
        <w:ind w:start="720" w:end="0"/>
        <w:rPr/>
      </w:pPr>
      <w:r>
        <w:rPr/>
        <w:br/>
      </w:r>
    </w:p>
    <w:p>
      <w:pPr>
        <w:pStyle w:val="Normal"/>
        <w:numPr>
          <w:ilvl w:val="0"/>
          <w:numId w:val="2"/>
        </w:numPr>
        <w:spacing w:before="240" w:after="120"/>
        <w:rPr>
          <w:color w:val="000000"/>
        </w:rPr>
      </w:pPr>
      <w:r>
        <w:rPr/>
        <w:t>A supply contract for delivery of natural gas at the Henry Hub allows the buyer to take volumes between 4,000 and 6,000 MMBtu/day all at the same fixed price.  The pricing of this contract would be based on the benchmark price adjusted by:</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Adding a premium to the Benchmark</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Subtracting a discount to the Benchmark</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Indeterminable</w:t>
      </w:r>
    </w:p>
    <w:p>
      <w:pPr>
        <w:pStyle w:val="Heading5"/>
        <w:rPr/>
      </w:pPr>
      <w:r>
        <w:rPr/>
      </w:r>
    </w:p>
    <w:p>
      <w:pPr>
        <w:pStyle w:val="Normal"/>
        <w:ind w:start="720" w:end="0"/>
        <w:rPr>
          <w:color w:val="000000"/>
        </w:rPr>
      </w:pPr>
      <w:r>
        <w:rPr>
          <w:color w:val="000000"/>
        </w:rPr>
        <w:br/>
      </w:r>
    </w:p>
    <w:p>
      <w:pPr>
        <w:pStyle w:val="Normal"/>
        <w:numPr>
          <w:ilvl w:val="0"/>
          <w:numId w:val="2"/>
        </w:numPr>
        <w:spacing w:before="240" w:after="120"/>
        <w:rPr>
          <w:color w:val="000000"/>
        </w:rPr>
      </w:pPr>
      <w:r>
        <w:rPr/>
        <w:t>A fuel purchasing manager for an industrial company that burns natural gas in its production process chooses not to hedge natural gas purchases for the next months.  Instead he intends to buy at index.  What is the company’s natural gas directional price risk position?</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Long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Short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Neutral</w:t>
      </w:r>
    </w:p>
    <w:p>
      <w:pPr>
        <w:pStyle w:val="Heading5"/>
        <w:rPr/>
      </w:pPr>
      <w:r>
        <w:rPr/>
      </w:r>
    </w:p>
    <w:p>
      <w:pPr>
        <w:pStyle w:val="Heading5"/>
        <w:rPr/>
      </w:pPr>
      <w:r>
        <w:rPr/>
      </w:r>
    </w:p>
    <w:p>
      <w:pPr>
        <w:pStyle w:val="Normal"/>
        <w:ind w:start="720" w:end="0"/>
        <w:rPr/>
      </w:pPr>
      <w:r>
        <w:rPr/>
        <w:br/>
      </w:r>
    </w:p>
    <w:p>
      <w:pPr>
        <w:pStyle w:val="Normal"/>
        <w:numPr>
          <w:ilvl w:val="0"/>
          <w:numId w:val="2"/>
        </w:numPr>
        <w:spacing w:before="360" w:after="240"/>
        <w:rPr/>
      </w:pPr>
      <w:r>
        <w:rPr/>
        <w:t>A speculator enters into a six month contract for firm delivery of natural gas priced monthly at the Inside FERC index.  What is the speculator’s natural gas directional price risk position?</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Long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Short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Neutral</w:t>
      </w:r>
    </w:p>
    <w:p>
      <w:pPr>
        <w:pStyle w:val="Heading5"/>
        <w:rPr/>
      </w:pPr>
      <w:r>
        <w:rPr/>
      </w:r>
    </w:p>
    <w:p>
      <w:pPr>
        <w:pStyle w:val="Normal"/>
        <w:ind w:start="720" w:end="0"/>
        <w:rPr/>
      </w:pPr>
      <w:r>
        <w:rPr/>
        <w:br/>
      </w:r>
    </w:p>
    <w:p>
      <w:pPr>
        <w:pStyle w:val="Normal"/>
        <w:keepNext w:val="true"/>
        <w:numPr>
          <w:ilvl w:val="0"/>
          <w:numId w:val="2"/>
        </w:numPr>
        <w:spacing w:before="360" w:after="240"/>
        <w:rPr/>
      </w:pPr>
      <w:r>
        <w:rPr/>
        <w:t>A dealer is contracted to deliver 500,000 MMBtu of natural gas in March at the Henry Hub.  The dealer also has a contract requiring payment of the Inside FERC Henry Hub index price for the month of March on a volume of 500,000 MMBtu.  What is the dealer’s net directional price risk position?</w:t>
      </w:r>
    </w:p>
    <w:p>
      <w:pPr>
        <w:pStyle w:val="Normal"/>
        <w:keepNext w:val="true"/>
        <w:tabs>
          <w:tab w:val="center" w:pos="720" w:leader="none"/>
          <w:tab w:val="right" w:pos="1080" w:leader="none"/>
          <w:tab w:val="left" w:pos="1800" w:leader="none"/>
        </w:tabs>
        <w:spacing w:lineRule="exact" w:line="280" w:before="0" w:after="120"/>
        <w:ind w:hanging="907" w:start="1267" w:end="0"/>
        <w:rPr/>
      </w:pPr>
      <w:r>
        <w:rPr>
          <w:rFonts w:cs="Swis721 BT;Arial" w:ascii="Swis721 BT;Arial" w:hAnsi="Swis721 BT;Arial"/>
          <w:b/>
          <w:u w:val="single"/>
        </w:rPr>
        <w:tab/>
        <w:tab/>
      </w:r>
      <w:r>
        <w:rPr/>
        <w:tab/>
        <w:t>(A)</w:t>
        <w:tab/>
        <w:t>Long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Short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Neutral</w:t>
      </w:r>
    </w:p>
    <w:p>
      <w:pPr>
        <w:pStyle w:val="Heading5"/>
        <w:rPr/>
      </w:pPr>
      <w:r>
        <w:rPr/>
      </w:r>
    </w:p>
    <w:p>
      <w:pPr>
        <w:pStyle w:val="Normal"/>
        <w:ind w:start="720" w:end="0"/>
        <w:rPr/>
      </w:pPr>
      <w:r>
        <w:rPr/>
        <w:br/>
        <w:br/>
        <w:br/>
      </w:r>
    </w:p>
    <w:p>
      <w:pPr>
        <w:pStyle w:val="Normal"/>
        <w:keepNext w:val="true"/>
        <w:numPr>
          <w:ilvl w:val="0"/>
          <w:numId w:val="2"/>
        </w:numPr>
        <w:spacing w:before="360" w:after="240"/>
        <w:rPr/>
      </w:pPr>
      <w:r>
        <w:rPr/>
        <w:t>A natural gas burner that enters into a firm supply contract priced at the monthly index is managing what risk?</w:t>
      </w:r>
    </w:p>
    <w:p>
      <w:pPr>
        <w:pStyle w:val="Normal"/>
        <w:keepNext w:val="true"/>
        <w:tabs>
          <w:tab w:val="center" w:pos="720" w:leader="none"/>
          <w:tab w:val="right" w:pos="1080" w:leader="none"/>
          <w:tab w:val="left" w:pos="1800" w:leader="none"/>
        </w:tabs>
        <w:spacing w:lineRule="exact" w:line="280" w:before="0" w:after="120"/>
        <w:ind w:hanging="907" w:start="1267" w:end="0"/>
        <w:rPr/>
      </w:pPr>
      <w:r>
        <w:rPr>
          <w:rFonts w:cs="Swis721 BT;Arial" w:ascii="Swis721 BT;Arial" w:hAnsi="Swis721 BT;Arial"/>
          <w:b/>
          <w:u w:val="single"/>
        </w:rPr>
        <w:tab/>
        <w:tab/>
      </w:r>
      <w:r>
        <w:rPr/>
        <w:tab/>
        <w:t>(A)</w:t>
        <w:tab/>
        <w:t>Directional Price Risk</w:t>
      </w:r>
    </w:p>
    <w:p>
      <w:pPr>
        <w:pStyle w:val="Normal"/>
        <w:keepNext w:val="true"/>
        <w:tabs>
          <w:tab w:val="center" w:pos="720" w:leader="none"/>
          <w:tab w:val="right" w:pos="1080" w:leader="none"/>
          <w:tab w:val="left" w:pos="1800" w:leader="none"/>
        </w:tabs>
        <w:spacing w:lineRule="exact" w:line="280" w:before="0" w:after="120"/>
        <w:ind w:hanging="907" w:start="1267" w:end="0"/>
        <w:rPr/>
      </w:pPr>
      <w:r>
        <w:rPr>
          <w:rFonts w:cs="Swis721 BT;Arial" w:ascii="Swis721 BT;Arial" w:hAnsi="Swis721 BT;Arial"/>
          <w:b/>
          <w:u w:val="single"/>
        </w:rPr>
        <w:tab/>
        <w:tab/>
      </w:r>
      <w:r>
        <w:rPr/>
        <w:tab/>
        <w:t>(B)</w:t>
        <w:tab/>
        <w:t>Cash Liquidity Risk</w:t>
      </w:r>
    </w:p>
    <w:p>
      <w:pPr>
        <w:pStyle w:val="Normal"/>
        <w:keepNext w:val="true"/>
        <w:tabs>
          <w:tab w:val="center" w:pos="720" w:leader="none"/>
          <w:tab w:val="right" w:pos="1080" w:leader="none"/>
          <w:tab w:val="left" w:pos="1800" w:leader="none"/>
        </w:tabs>
        <w:spacing w:lineRule="exact" w:line="280" w:before="0" w:after="120"/>
        <w:ind w:hanging="907" w:start="1267" w:end="0"/>
        <w:rPr/>
      </w:pPr>
      <w:r>
        <w:rPr>
          <w:rFonts w:cs="Swis721 BT;Arial" w:ascii="Swis721 BT;Arial" w:hAnsi="Swis721 BT;Arial"/>
          <w:b/>
          <w:u w:val="single"/>
        </w:rPr>
        <w:tab/>
        <w:tab/>
      </w:r>
      <w:r>
        <w:rPr/>
        <w:tab/>
        <w:t>(C)</w:t>
        <w:tab/>
        <w:t>Physical Supply Reliability Risk</w:t>
      </w:r>
    </w:p>
    <w:p>
      <w:pPr>
        <w:pStyle w:val="Normal"/>
        <w:keepNext w:val="true"/>
        <w:tabs>
          <w:tab w:val="center" w:pos="720" w:leader="none"/>
          <w:tab w:val="right" w:pos="1080" w:leader="none"/>
          <w:tab w:val="left" w:pos="1800" w:leader="none"/>
        </w:tabs>
        <w:spacing w:lineRule="exact" w:line="280" w:before="0" w:after="120"/>
        <w:ind w:hanging="907" w:start="1267" w:end="0"/>
        <w:rPr/>
      </w:pPr>
      <w:r>
        <w:rPr>
          <w:rFonts w:cs="Swis721 BT;Arial" w:ascii="Swis721 BT;Arial" w:hAnsi="Swis721 BT;Arial"/>
          <w:b/>
          <w:u w:val="single"/>
        </w:rPr>
        <w:tab/>
        <w:tab/>
      </w:r>
      <w:r>
        <w:rPr/>
        <w:tab/>
        <w:t>(D)</w:t>
        <w:tab/>
        <w:t>Basis Risk</w:t>
      </w:r>
    </w:p>
    <w:p>
      <w:pPr>
        <w:pStyle w:val="Heading5"/>
        <w:rPr/>
      </w:pPr>
      <w:r>
        <w:rPr/>
      </w:r>
    </w:p>
    <w:p>
      <w:pPr>
        <w:pStyle w:val="Normal"/>
        <w:ind w:start="720" w:end="0"/>
        <w:rPr/>
      </w:pPr>
      <w:r>
        <w:rPr/>
      </w:r>
    </w:p>
    <w:p>
      <w:pPr>
        <w:pStyle w:val="Normal"/>
        <w:keepNext w:val="true"/>
        <w:numPr>
          <w:ilvl w:val="0"/>
          <w:numId w:val="2"/>
        </w:numPr>
        <w:spacing w:before="360" w:after="240"/>
        <w:rPr/>
      </w:pPr>
      <w:r>
        <w:rPr/>
        <w:t>A natural gas dealer is contracted to buy gas, October delivery, at the Waha (Permian Basin)  Hub at a fixed price.  The same dealer also has sold an equivalent volume of gas, also October delivery at a fixed price, but at the Houston Ship Channel.  What is the dealer’s Directional Price Risk Position?</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Long</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Short</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Neutral</w:t>
      </w:r>
    </w:p>
    <w:p>
      <w:pPr>
        <w:pStyle w:val="Heading5"/>
        <w:rPr/>
      </w:pPr>
      <w:r>
        <w:rPr/>
      </w:r>
    </w:p>
    <w:p>
      <w:pPr>
        <w:pStyle w:val="Normal"/>
        <w:ind w:start="720" w:end="0"/>
        <w:rPr/>
      </w:pPr>
      <w:r>
        <w:rPr/>
        <w:br/>
      </w:r>
    </w:p>
    <w:p>
      <w:pPr>
        <w:pStyle w:val="Heading4"/>
        <w:spacing w:before="600" w:after="120"/>
        <w:ind w:hanging="0" w:start="0"/>
        <w:rPr/>
      </w:pPr>
      <w:r>
        <w:rPr/>
        <w:t>Information For Exercises 12–13</w:t>
      </w:r>
    </w:p>
    <w:p>
      <w:pPr>
        <w:pStyle w:val="ListBullet"/>
        <w:rPr>
          <w:rFonts w:ascii="Swis721 Md BT;Arial" w:hAnsi="Swis721 Md BT;Arial" w:cs="Swis721 Md BT;Arial"/>
          <w:sz w:val="22"/>
        </w:rPr>
      </w:pPr>
      <w:r>
        <w:rPr>
          <w:rFonts w:cs="Swis721 Md BT;Arial" w:ascii="Swis721 Md BT;Arial" w:hAnsi="Swis721 Md BT;Arial"/>
          <w:sz w:val="22"/>
        </w:rPr>
        <w:t>An Arizona utility that purchases San Juan natural gas is concerned about rising gas prices.  The utility is quoted a one-year natural gas swap paying a fixed price of $3.96 against the Henry Hub index.  The current month index is $4.06.  Current month price index for San Juan is $3.73.</w:t>
      </w:r>
    </w:p>
    <w:p>
      <w:pPr>
        <w:pStyle w:val="Normal"/>
        <w:numPr>
          <w:ilvl w:val="0"/>
          <w:numId w:val="2"/>
        </w:numPr>
        <w:spacing w:before="360" w:after="240"/>
        <w:rPr/>
      </w:pPr>
      <w:r>
        <w:rPr/>
        <w:t>What is the utility’s all-in cost of natural gas for the current month if it executes the swap and continues to buy San Juan at index?  Will this be the fixed cost for the life of the swap?</w:t>
      </w:r>
    </w:p>
    <w:p>
      <w:pPr>
        <w:pStyle w:val="Heading5"/>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720" w:end="0"/>
        <w:rPr/>
      </w:pPr>
      <w:r>
        <w:rPr/>
      </w:r>
    </w:p>
    <w:p>
      <w:pPr>
        <w:pStyle w:val="Normal"/>
        <w:keepNext w:val="true"/>
        <w:numPr>
          <w:ilvl w:val="0"/>
          <w:numId w:val="2"/>
        </w:numPr>
        <w:spacing w:before="600" w:after="120"/>
        <w:rPr/>
      </w:pPr>
      <w:r>
        <w:rPr/>
        <w:t>A dealer quotes a one-year basis swap, San Juan vs. Henry Hub, as $0.30-$0.32 (bid-offer).  If the utility adds this basis swap to the swap hedge in question #12, what is the all-in cost of natural gas?</w:t>
      </w:r>
    </w:p>
    <w:p>
      <w:pPr>
        <w:pStyle w:val="Heading5"/>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keepNext w:val="false"/>
        <w:spacing w:before="600" w:after="120"/>
        <w:ind w:hanging="0" w:start="0"/>
        <w:rPr/>
      </w:pPr>
      <w:r>
        <w:rPr/>
        <w:t>Information For Exercises 22–25</w:t>
      </w:r>
    </w:p>
    <w:p>
      <w:pPr>
        <w:pStyle w:val="Heading4"/>
        <w:keepNext w:val="false"/>
        <w:spacing w:before="60" w:after="120"/>
        <w:ind w:hanging="0" w:start="0"/>
        <w:rPr>
          <w:u w:val="none"/>
        </w:rPr>
      </w:pPr>
      <w:r>
        <w:rPr>
          <w:u w:val="none"/>
        </w:rPr>
        <w:t>A marketer provides a six-month basis swap in which the marketer pays the Transco Zone 3 Index (Transco Z3) and receives the Houston Ship Channel Index (HSC).</w:t>
      </w:r>
    </w:p>
    <w:p>
      <w:pPr>
        <w:pStyle w:val="Normal"/>
        <w:numPr>
          <w:ilvl w:val="0"/>
          <w:numId w:val="2"/>
        </w:numPr>
        <w:spacing w:before="600" w:after="120"/>
        <w:rPr/>
      </w:pPr>
      <w:r>
        <w:rPr/>
        <w:t>The three month fixed price for Transco Z3 is $3.45 and $3.30 at HSC.  The pricing of the basis swap would be closest to:</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HSC vs. Transco Z3 plus $0.15</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 xml:space="preserve">HSC minus $0.15 vs. Transco Z3 </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(C)</w:t>
        <w:tab/>
        <w:t>HSC plus $0.15 vs. Transco Z3</w:t>
      </w:r>
    </w:p>
    <w:p>
      <w:pPr>
        <w:pStyle w:val="Normal"/>
        <w:keepNext w:val="true"/>
        <w:tabs>
          <w:tab w:val="center" w:pos="720" w:leader="none"/>
          <w:tab w:val="right" w:pos="1080" w:leader="none"/>
          <w:tab w:val="left" w:pos="1800" w:leader="none"/>
        </w:tabs>
        <w:spacing w:lineRule="exact" w:line="280" w:before="60" w:after="240"/>
        <w:ind w:hanging="907" w:start="1267" w:end="0"/>
        <w:rPr/>
      </w:pPr>
      <w:r>
        <w:rPr>
          <w:rFonts w:cs="Swis721 BT;Arial" w:ascii="Swis721 BT;Arial" w:hAnsi="Swis721 BT;Arial"/>
          <w:b/>
          <w:u w:val="single"/>
        </w:rPr>
        <w:tab/>
        <w:tab/>
      </w:r>
      <w:r>
        <w:rPr/>
        <w:tab/>
        <w:t>(D)</w:t>
        <w:tab/>
        <w:t>HSC vs. Transco Z3</w:t>
      </w:r>
    </w:p>
    <w:p>
      <w:pPr>
        <w:pStyle w:val="Heading5"/>
        <w:rPr/>
      </w:pPr>
      <w:r>
        <w:rPr/>
      </w:r>
    </w:p>
    <w:p>
      <w:pPr>
        <w:pStyle w:val="Normal"/>
        <w:ind w:start="720" w:end="0"/>
        <w:rPr/>
      </w:pPr>
      <w:r>
        <w:rPr/>
        <w:br/>
        <w:br/>
      </w:r>
    </w:p>
    <w:p>
      <w:pPr>
        <w:pStyle w:val="Normal"/>
        <w:keepNext w:val="true"/>
        <w:numPr>
          <w:ilvl w:val="0"/>
          <w:numId w:val="2"/>
        </w:numPr>
        <w:spacing w:before="600" w:after="120"/>
        <w:rPr/>
      </w:pPr>
      <w:r>
        <w:rPr/>
        <w:t>The marketer’s side of the basis trade is characterized as: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(A)</w:t>
        <w:tab/>
        <w:t>Marketer bought the basis</w:t>
      </w:r>
    </w:p>
    <w:p>
      <w:pPr>
        <w:pStyle w:val="Normal"/>
        <w:keepNext w:val="true"/>
        <w:tabs>
          <w:tab w:val="center" w:pos="720" w:leader="none"/>
          <w:tab w:val="right" w:pos="1080" w:leader="none"/>
          <w:tab w:val="left" w:pos="1800" w:leader="none"/>
        </w:tabs>
        <w:spacing w:lineRule="exact" w:line="280"/>
        <w:ind w:hanging="907" w:start="1267" w:end="0"/>
        <w:rPr/>
      </w:pPr>
      <w:r>
        <w:rPr>
          <w:rFonts w:cs="Swis721 BT;Arial" w:ascii="Swis721 BT;Arial" w:hAnsi="Swis721 BT;Arial"/>
          <w:b/>
          <w:u w:val="single"/>
        </w:rPr>
        <w:tab/>
        <w:tab/>
      </w:r>
      <w:r>
        <w:rPr/>
        <w:tab/>
        <w:t>(B)</w:t>
        <w:tab/>
        <w:t>Marketer sold the basis</w:t>
      </w:r>
    </w:p>
    <w:p>
      <w:pPr>
        <w:pStyle w:val="Heading5"/>
        <w:rPr/>
      </w:pPr>
      <w:r>
        <w:rPr/>
      </w:r>
    </w:p>
    <w:p>
      <w:pPr>
        <w:pStyle w:val="Normal"/>
        <w:spacing w:before="60" w:after="120"/>
        <w:rPr/>
      </w:pPr>
      <w:r>
        <w:rPr/>
        <w:br/>
      </w:r>
    </w:p>
    <w:sectPr>
      <w:headerReference w:type="default" r:id="rId5"/>
      <w:footerReference w:type="default" r:id="rId6"/>
      <w:type w:val="nextPage"/>
      <w:pgSz w:w="12240" w:h="15840"/>
      <w:pgMar w:left="2160" w:right="1800" w:gutter="0" w:header="720" w:top="187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wis721 Md BT">
    <w:altName w:val="Arial"/>
    <w:charset w:val="00" w:characterSet="windows-1252"/>
    <w:family w:val="swiss"/>
    <w:pitch w:val="variable"/>
  </w:font>
  <w:font w:name="Swis721 Cn BT">
    <w:altName w:val="Arial Narrow"/>
    <w:charset w:val="00" w:characterSet="windows-1252"/>
    <w:family w:val="swiss"/>
    <w:pitch w:val="variable"/>
  </w:font>
  <w:font w:name="Arial Rounded MT Bold">
    <w:charset w:val="00" w:characterSet="windows-1252"/>
    <w:family w:val="swiss"/>
    <w:pitch w:val="variable"/>
  </w:font>
  <w:font w:name="Swis721 BT">
    <w:altName w:val="Arial"/>
    <w:charset w:val="00" w:characterSet="windows-1252"/>
    <w:family w:val="swiss"/>
    <w:pitch w:val="variable"/>
  </w:font>
  <w:font w:name="Tahoma">
    <w:charset w:val="00" w:characterSet="windows-1252"/>
    <w:family w:val="swiss"/>
    <w:pitch w:val="variable"/>
  </w:font>
  <w:font w:name="Swis721 Ex BT">
    <w:altName w:val="Zurich Ex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120"/>
      <w:rPr>
        <w:sz w:val="20"/>
      </w:rPr>
    </w:pPr>
    <w:r>
      <w:rPr>
        <w:sz w:val="20"/>
      </w:rPr>
    </w:r>
    <w:r>
      <mc:AlternateContent>
        <mc:Choice Requires="wps">
          <w:drawing>
            <wp:anchor behindDoc="1" distT="0" distB="0" distL="114935" distR="114935" simplePos="0" locked="0" layoutInCell="0" allowOverlap="1" relativeHeight="14">
              <wp:simplePos x="0" y="0"/>
              <wp:positionH relativeFrom="page">
                <wp:posOffset>1280160</wp:posOffset>
              </wp:positionH>
              <wp:positionV relativeFrom="page">
                <wp:posOffset>9399905</wp:posOffset>
              </wp:positionV>
              <wp:extent cx="5486400" cy="274320"/>
              <wp:effectExtent l="0" t="0" r="0" b="0"/>
              <wp:wrapNone/>
              <wp:docPr id="5" name="Frame1"/>
              <a:graphic xmlns:a="http://schemas.openxmlformats.org/drawingml/2006/main">
                <a:graphicData uri="http://schemas.microsoft.com/office/word/2010/wordprocessingShape">
                  <wps:wsp>
                    <wps:cNvSpPr txBox="1"/>
                    <wps:spPr>
                      <a:xfrm>
                        <a:off x="0" y="0"/>
                        <a:ext cx="5486400" cy="274320"/>
                      </a:xfrm>
                      <a:prstGeom prst="rect"/>
                      <a:solidFill>
                        <a:srgbClr val="FFFFFF">
                          <a:alpha val="0"/>
                        </a:srgbClr>
                      </a:solidFill>
                    </wps:spPr>
                    <wps:txbx>
                      <w:txbxContent>
                        <w:p>
                          <w:pPr>
                            <w:pStyle w:val="Header"/>
                            <w:tabs>
                              <w:tab w:val="clear" w:pos="4320"/>
                              <w:tab w:val="clear" w:pos="8640"/>
                              <w:tab w:val="right" w:pos="8352" w:leader="none"/>
                            </w:tabs>
                            <w:spacing w:before="60" w:after="120"/>
                            <w:rPr/>
                          </w:pPr>
                          <w:r>
                            <w:rPr/>
                            <w:t>050.102</w:t>
                            <w:tab/>
                            <w:t>© 1997–2001, Paradigm Strategy Group, Inc.</w:t>
                          </w:r>
                        </w:p>
                      </w:txbxContent>
                    </wps:txbx>
                    <wps:bodyPr anchor="t" lIns="92075" tIns="46355" rIns="92075" bIns="46355">
                      <a:noAutofit/>
                    </wps:bodyPr>
                  </wps:wsp>
                </a:graphicData>
              </a:graphic>
            </wp:anchor>
          </w:drawing>
        </mc:Choice>
        <mc:Fallback>
          <w:pict>
            <v:rect fillcolor="#FFFFFF" style="position:absolute;rotation:-0;width:432pt;height:21.6pt;mso-wrap-distance-left:9.05pt;mso-wrap-distance-right:9.05pt;mso-wrap-distance-top:0pt;mso-wrap-distance-bottom:0pt;margin-top:740.15pt;mso-position-vertical-relative:page;margin-left:100.8pt;mso-position-horizontal-relative:page">
              <v:fill opacity="0f"/>
              <v:textbox inset="0.100694444444444in,0.0506944444444444in,0.100694444444444in,0.0506944444444444in">
                <w:txbxContent>
                  <w:p>
                    <w:pPr>
                      <w:pStyle w:val="Header"/>
                      <w:tabs>
                        <w:tab w:val="clear" w:pos="4320"/>
                        <w:tab w:val="clear" w:pos="8640"/>
                        <w:tab w:val="right" w:pos="8352" w:leader="none"/>
                      </w:tabs>
                      <w:spacing w:before="60" w:after="120"/>
                      <w:rPr/>
                    </w:pPr>
                    <w:r>
                      <w:rPr/>
                      <w:t>050.102</w:t>
                      <w:tab/>
                      <w:t>© 1997–2001, Paradigm Strategy Group, Inc.</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120"/>
      <w:rPr/>
    </w:pPr>
    <w:r>
      <w:rPr/>
      <w:t>Review Quiz: Price Curves &amp; Swaps</w:t>
    </w:r>
    <w:r>
      <mc:AlternateContent>
        <mc:Choice Requires="wps">
          <w:drawing>
            <wp:anchor behindDoc="0" distT="0" distB="0" distL="0" distR="0" simplePos="0" locked="0" layoutInCell="0" allowOverlap="1" relativeHeight="8">
              <wp:simplePos x="0" y="0"/>
              <wp:positionH relativeFrom="page">
                <wp:posOffset>7224395</wp:posOffset>
              </wp:positionH>
              <wp:positionV relativeFrom="paragraph">
                <wp:posOffset>6350</wp:posOffset>
              </wp:positionV>
              <wp:extent cx="64135" cy="1847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84785"/>
                      </a:xfrm>
                      <a:prstGeom prst="rect"/>
                      <a:solidFill>
                        <a:srgbClr val="FFFFFF">
                          <a:alpha val="0"/>
                        </a:srgbClr>
                      </a:solidFill>
                    </wps:spPr>
                    <wps:txbx>
                      <w:txbxContent>
                        <w:p>
                          <w:pPr>
                            <w:pStyle w:val="Header"/>
                            <w:spacing w:before="6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4.55pt;mso-wrap-distance-left:0pt;mso-wrap-distance-right:0pt;mso-wrap-distance-top:0pt;mso-wrap-distance-bottom:0pt;margin-top:0.5pt;mso-position-vertical-relative:text;margin-left:568.85pt;mso-position-horizontal-relative:page">
              <v:fill opacity="0f"/>
              <v:textbox inset="0in,0in,0in,0in">
                <w:txbxContent>
                  <w:p>
                    <w:pPr>
                      <w:pStyle w:val="Header"/>
                      <w:spacing w:before="6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Header"/>
      <w:pBdr>
        <w:bottom w:val="single" w:sz="4" w:space="1" w:color="000000"/>
      </w:pBdr>
      <w:spacing w:before="12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540"/>
        </w:tabs>
        <w:ind w:start="54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fullPage"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bidi w:val="0"/>
      <w:spacing w:before="60" w:after="12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pageBreakBefore/>
      <w:numPr>
        <w:ilvl w:val="0"/>
        <w:numId w:val="1"/>
      </w:numPr>
      <w:spacing w:before="60" w:after="360"/>
      <w:outlineLvl w:val="0"/>
    </w:pPr>
    <w:rPr>
      <w:rFonts w:ascii="Swis721 Md BT;Arial" w:hAnsi="Swis721 Md BT;Arial" w:cs="Swis721 Md BT;Arial"/>
      <w:b/>
      <w:sz w:val="40"/>
    </w:rPr>
  </w:style>
  <w:style w:type="paragraph" w:styleId="Heading2">
    <w:name w:val="heading 2"/>
    <w:basedOn w:val="Normal"/>
    <w:next w:val="Normal"/>
    <w:qFormat/>
    <w:pPr>
      <w:keepNext w:val="true"/>
      <w:numPr>
        <w:ilvl w:val="1"/>
        <w:numId w:val="1"/>
      </w:numPr>
      <w:spacing w:before="360" w:after="120"/>
      <w:outlineLvl w:val="1"/>
    </w:pPr>
    <w:rPr>
      <w:rFonts w:ascii="Swis721 Md BT;Arial" w:hAnsi="Swis721 Md BT;Arial" w:cs="Swis721 Md BT;Arial"/>
      <w:b/>
      <w:sz w:val="28"/>
    </w:rPr>
  </w:style>
  <w:style w:type="paragraph" w:styleId="Heading3">
    <w:name w:val="heading 3"/>
    <w:basedOn w:val="Normal"/>
    <w:next w:val="Normal"/>
    <w:qFormat/>
    <w:pPr>
      <w:keepNext w:val="true"/>
      <w:numPr>
        <w:ilvl w:val="2"/>
        <w:numId w:val="1"/>
      </w:numPr>
      <w:spacing w:before="240" w:after="120"/>
      <w:outlineLvl w:val="2"/>
    </w:pPr>
    <w:rPr>
      <w:rFonts w:ascii="Swis721 Md BT;Arial" w:hAnsi="Swis721 Md BT;Arial" w:cs="Swis721 Md BT;Arial"/>
      <w:b/>
      <w:i/>
    </w:rPr>
  </w:style>
  <w:style w:type="paragraph" w:styleId="Heading4">
    <w:name w:val="heading 4"/>
    <w:basedOn w:val="Normal"/>
    <w:next w:val="Normal"/>
    <w:qFormat/>
    <w:pPr>
      <w:keepNext w:val="true"/>
      <w:numPr>
        <w:ilvl w:val="3"/>
        <w:numId w:val="1"/>
      </w:numPr>
      <w:spacing w:before="120" w:after="60"/>
      <w:outlineLvl w:val="3"/>
    </w:pPr>
    <w:rPr>
      <w:rFonts w:ascii="Swis721 Md BT;Arial" w:hAnsi="Swis721 Md BT;Arial" w:cs="Swis721 Md BT;Arial"/>
      <w:sz w:val="22"/>
      <w:u w:val="single"/>
    </w:rPr>
  </w:style>
  <w:style w:type="paragraph" w:styleId="Heading5">
    <w:name w:val="heading 5"/>
    <w:basedOn w:val="Normal"/>
    <w:next w:val="Normal"/>
    <w:qFormat/>
    <w:pPr>
      <w:keepNext w:val="true"/>
      <w:numPr>
        <w:ilvl w:val="4"/>
        <w:numId w:val="1"/>
      </w:numPr>
      <w:spacing w:before="120" w:after="120"/>
      <w:ind w:hanging="0" w:start="360" w:end="0"/>
      <w:outlineLvl w:val="4"/>
    </w:pPr>
    <w:rPr>
      <w:rFonts w:ascii="Swis721 Cn BT;Arial Narrow" w:hAnsi="Swis721 Cn BT;Arial Narrow" w:cs="Swis721 Cn BT;Arial Narrow"/>
      <w:b/>
    </w:rPr>
  </w:style>
  <w:style w:type="paragraph" w:styleId="Heading6">
    <w:name w:val="heading 6"/>
    <w:basedOn w:val="Normal"/>
    <w:next w:val="Normal"/>
    <w:qFormat/>
    <w:pPr>
      <w:numPr>
        <w:ilvl w:val="5"/>
        <w:numId w:val="1"/>
      </w:numPr>
      <w:spacing w:before="120" w:after="120"/>
      <w:ind w:hanging="0" w:start="907" w:end="0"/>
      <w:outlineLvl w:val="5"/>
    </w:pPr>
    <w:rPr>
      <w:rFonts w:ascii="Arial Rounded MT Bold" w:hAnsi="Arial Rounded MT Bold" w:cs="Arial Rounded MT Bold"/>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9z0">
    <w:name w:val="WW8Num29z0"/>
    <w:qFormat/>
    <w:rPr/>
  </w:style>
  <w:style w:type="character" w:styleId="WW8Num33z0">
    <w:name w:val="WW8Num33z0"/>
    <w:qFormat/>
    <w:rPr>
      <w:rFonts w:ascii="Times New Roman" w:hAnsi="Times New Roman" w:cs="Times New Roman"/>
      <w:b w:val="false"/>
      <w:u w:val="none"/>
    </w:rPr>
  </w:style>
  <w:style w:type="character" w:styleId="WW8Num35z0">
    <w:name w:val="WW8Num35z0"/>
    <w:qFormat/>
    <w:rPr>
      <w:rFonts w:ascii="Symbol" w:hAnsi="Symbol" w:cs="Symbol"/>
    </w:rPr>
  </w:style>
  <w:style w:type="character" w:styleId="WW8Num36z0">
    <w:name w:val="WW8Num36z0"/>
    <w:qFormat/>
    <w:rPr>
      <w:b w:val="false"/>
      <w:i w:val="false"/>
      <w:sz w:val="24"/>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5z0">
    <w:name w:val="WW8Num45z0"/>
    <w:qFormat/>
    <w:rPr>
      <w:rFonts w:ascii="Symbol" w:hAnsi="Symbol" w:cs="Symbol"/>
    </w:rPr>
  </w:style>
  <w:style w:type="character" w:styleId="WW8Num49z0">
    <w:name w:val="WW8Num49z0"/>
    <w:qFormat/>
    <w:rPr>
      <w:rFonts w:ascii="Symbol" w:hAnsi="Symbol" w:cs="Symbol"/>
    </w:rPr>
  </w:style>
  <w:style w:type="character" w:styleId="WW8Num51z0">
    <w:name w:val="WW8Num51z0"/>
    <w:qFormat/>
    <w:rPr>
      <w:rFonts w:ascii="Symbol" w:hAnsi="Symbol" w:cs="Symbol"/>
    </w:rPr>
  </w:style>
  <w:style w:type="character" w:styleId="WW8Num55z0">
    <w:name w:val="WW8Num55z0"/>
    <w:qFormat/>
    <w:rPr/>
  </w:style>
  <w:style w:type="character" w:styleId="WW8Num57z0">
    <w:name w:val="WW8Num57z0"/>
    <w:qFormat/>
    <w:rPr>
      <w:rFonts w:ascii="Symbol" w:hAnsi="Symbol" w:cs="Symbol"/>
    </w:rPr>
  </w:style>
  <w:style w:type="character" w:styleId="WW8Num59z0">
    <w:name w:val="WW8Num59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9z0">
    <w:name w:val="WW8Num69z0"/>
    <w:qFormat/>
    <w:rPr>
      <w:color w:val="auto"/>
    </w:rPr>
  </w:style>
  <w:style w:type="character" w:styleId="WW8Num71z0">
    <w:name w:val="WW8Num71z0"/>
    <w:qFormat/>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rFonts w:ascii="Symbol" w:hAnsi="Symbol" w:cs="Symbol"/>
    </w:rPr>
  </w:style>
  <w:style w:type="character" w:styleId="WW8Num81z0">
    <w:name w:val="WW8Num81z0"/>
    <w:qFormat/>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b w:val="false"/>
      <w:i w:val="false"/>
      <w:sz w:val="26"/>
    </w:rPr>
  </w:style>
  <w:style w:type="character" w:styleId="WW8Num93z0">
    <w:name w:val="WW8Num93z0"/>
    <w:qFormat/>
    <w:rPr/>
  </w:style>
  <w:style w:type="character" w:styleId="WW8Num94z0">
    <w:name w:val="WW8Num94z0"/>
    <w:qFormat/>
    <w:rPr>
      <w:rFonts w:ascii="Symbol" w:hAnsi="Symbol" w:cs="Symbol"/>
    </w:rPr>
  </w:style>
  <w:style w:type="character" w:styleId="WW8Num98z0">
    <w:name w:val="WW8Num98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style>
  <w:style w:type="character" w:styleId="WW8Num120z0">
    <w:name w:val="WW8Num120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9z0">
    <w:name w:val="WW8Num129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before="240" w:after="480"/>
      <w:outlineLvl w:val="0"/>
    </w:pPr>
    <w:rPr>
      <w:rFonts w:ascii="Swis721 Md BT;Arial" w:hAnsi="Swis721 Md BT;Arial" w:cs="Swis721 Md BT;Arial"/>
      <w:b/>
      <w:kern w:val="2"/>
      <w:sz w:val="7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8270" w:leader="dot"/>
      </w:tabs>
    </w:pPr>
    <w:rPr>
      <w:rFonts w:ascii="Swis721 Md BT;Arial" w:hAnsi="Swis721 Md BT;Arial" w:cs="Swis721 Md BT;Arial"/>
      <w:lang w:val="en-CA" w:eastAsia="en-CA"/>
    </w:rPr>
  </w:style>
  <w:style w:type="paragraph" w:styleId="TOC2">
    <w:name w:val="toc 2"/>
    <w:basedOn w:val="Normal"/>
    <w:next w:val="Normal"/>
    <w:pPr>
      <w:tabs>
        <w:tab w:val="clear" w:pos="720"/>
        <w:tab w:val="right" w:pos="8270" w:leader="dot"/>
      </w:tabs>
      <w:ind w:hanging="0" w:start="200" w:end="0"/>
    </w:pPr>
    <w:rPr>
      <w:rFonts w:ascii="Swis721 BT;Arial" w:hAnsi="Swis721 BT;Arial" w:cs="Swis721 BT;Arial"/>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BodyTextIndent">
    <w:name w:val="Body Text Indent"/>
    <w:basedOn w:val="Normal"/>
    <w:pPr>
      <w:ind w:hanging="0" w:start="720" w:end="0"/>
    </w:pPr>
    <w:rPr/>
  </w:style>
  <w:style w:type="paragraph" w:styleId="Footer">
    <w:name w:val="footer"/>
    <w:basedOn w:val="Normal"/>
    <w:pPr>
      <w:pBdr>
        <w:top w:val="single" w:sz="4" w:space="1" w:color="000000"/>
      </w:pBdr>
      <w:tabs>
        <w:tab w:val="clear" w:pos="720"/>
        <w:tab w:val="center" w:pos="4320" w:leader="none"/>
        <w:tab w:val="right" w:pos="8640" w:leader="none"/>
      </w:tabs>
    </w:pPr>
    <w:rPr>
      <w:sz w:val="16"/>
      <w:lang w:val="en-CA" w:eastAsia="en-CA"/>
    </w:rPr>
  </w:style>
  <w:style w:type="paragraph" w:styleId="Subtitle">
    <w:name w:val="Subtitle"/>
    <w:basedOn w:val="Normal"/>
    <w:next w:val="BodyText"/>
    <w:qFormat/>
    <w:pPr>
      <w:spacing w:before="120" w:after="120"/>
    </w:pPr>
    <w:rPr>
      <w:rFonts w:ascii="Swis721 Md BT;Arial" w:hAnsi="Swis721 Md BT;Arial" w:cs="Swis721 Md BT;Arial"/>
      <w:b/>
      <w:sz w:val="28"/>
    </w:rPr>
  </w:style>
  <w:style w:type="paragraph" w:styleId="TOC3">
    <w:name w:val="toc 3"/>
    <w:basedOn w:val="Normal"/>
    <w:next w:val="Normal"/>
    <w:pPr>
      <w:ind w:hanging="0" w:start="480" w:end="0"/>
    </w:pPr>
    <w:rPr/>
  </w:style>
  <w:style w:type="paragraph" w:styleId="BodyText2">
    <w:name w:val="Body Text 2"/>
    <w:basedOn w:val="Normal"/>
    <w:qFormat/>
    <w:pPr>
      <w:pBdr>
        <w:top w:val="single" w:sz="4" w:space="1" w:color="000000"/>
        <w:bottom w:val="single" w:sz="4" w:space="1" w:color="000000"/>
      </w:pBdr>
    </w:pPr>
    <w:rPr>
      <w:rFonts w:ascii="Swis721 Cn BT;Arial Narrow" w:hAnsi="Swis721 Cn BT;Arial Narrow" w:cs="Swis721 Cn BT;Arial Narrow"/>
      <w:b/>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1080" w:end="0"/>
    </w:pPr>
    <w:rPr/>
  </w:style>
  <w:style w:type="paragraph" w:styleId="Bullet-1">
    <w:name w:val="Bullet-1"/>
    <w:basedOn w:val="Normal"/>
    <w:qFormat/>
    <w:pPr>
      <w:numPr>
        <w:ilvl w:val="0"/>
        <w:numId w:val="3"/>
      </w:numPr>
      <w:spacing w:lineRule="exact" w:line="260" w:before="60" w:after="60"/>
    </w:pPr>
    <w:rPr/>
  </w:style>
  <w:style w:type="paragraph" w:styleId="ListBullet">
    <w:name w:val="List Bullet"/>
    <w:basedOn w:val="Normal"/>
    <w:pPr>
      <w:spacing w:before="60" w:after="240"/>
    </w:pPr>
    <w:rPr/>
  </w:style>
  <w:style w:type="paragraph" w:styleId="Bullet-2">
    <w:name w:val="Bullet-2"/>
    <w:basedOn w:val="Normal"/>
    <w:qFormat/>
    <w:pPr>
      <w:numPr>
        <w:ilvl w:val="0"/>
        <w:numId w:val="5"/>
      </w:numPr>
      <w:spacing w:lineRule="exact" w:line="260" w:before="60" w:after="60"/>
    </w:pPr>
    <w:rPr/>
  </w:style>
  <w:style w:type="paragraph" w:styleId="P-Question-A">
    <w:name w:val="P-Question-A"/>
    <w:basedOn w:val="Normal"/>
    <w:qFormat/>
    <w:pPr>
      <w:keepLines w:val="false"/>
      <w:spacing w:lineRule="atLeast" w:line="320"/>
      <w:ind w:hanging="720" w:start="720" w:end="0"/>
    </w:pPr>
    <w:rPr/>
  </w:style>
  <w:style w:type="paragraph" w:styleId="BodyText3">
    <w:name w:val="Body Text 3"/>
    <w:basedOn w:val="Normal"/>
    <w:qFormat/>
    <w:pPr>
      <w:spacing w:before="60" w:after="240"/>
    </w:pPr>
    <w:rPr>
      <w:color w:val="000000"/>
    </w:rPr>
  </w:style>
  <w:style w:type="paragraph" w:styleId="BodyTextIndent3">
    <w:name w:val="Body Text Indent 3"/>
    <w:basedOn w:val="Normal"/>
    <w:qFormat/>
    <w:pPr>
      <w:ind w:hanging="0" w:start="360" w:end="0"/>
    </w:pPr>
    <w:rPr/>
  </w:style>
  <w:style w:type="paragraph" w:styleId="SwissIndent">
    <w:name w:val="Swiss Indent"/>
    <w:basedOn w:val="Normal"/>
    <w:qFormat/>
    <w:pPr>
      <w:spacing w:before="60" w:after="60"/>
      <w:ind w:hanging="0" w:start="360" w:end="0"/>
    </w:pPr>
    <w:rPr>
      <w:rFonts w:ascii="Swis721 BT;Arial" w:hAnsi="Swis721 BT;Arial" w:cs="Swis721 BT;Arial"/>
      <w:sz w:val="22"/>
    </w:rPr>
  </w:style>
  <w:style w:type="paragraph" w:styleId="SwissExample">
    <w:name w:val="Swiss Example"/>
    <w:basedOn w:val="Normal"/>
    <w:qFormat/>
    <w:pPr>
      <w:spacing w:before="60" w:after="60"/>
      <w:ind w:hanging="0" w:start="1267" w:end="0"/>
    </w:pPr>
    <w:rPr>
      <w:rFonts w:ascii="Swis721 BT;Arial" w:hAnsi="Swis721 BT;Arial" w:cs="Swis721 BT;Arial"/>
      <w:sz w:val="22"/>
    </w:rPr>
  </w:style>
  <w:style w:type="paragraph" w:styleId="Lists">
    <w:name w:val="List #s"/>
    <w:basedOn w:val="Normal"/>
    <w:qFormat/>
    <w:pPr>
      <w:numPr>
        <w:ilvl w:val="0"/>
        <w:numId w:val="4"/>
      </w:numPr>
      <w:tabs>
        <w:tab w:val="clear" w:pos="720"/>
        <w:tab w:val="left" w:pos="540" w:leader="none"/>
      </w:tabs>
      <w:spacing w:before="60" w:after="60"/>
      <w:ind w:hanging="0" w:start="547" w:end="0"/>
    </w:pPr>
    <w:rPr/>
  </w:style>
  <w:style w:type="paragraph" w:styleId="ExampleText">
    <w:name w:val="Example Text"/>
    <w:basedOn w:val="Normal"/>
    <w:qFormat/>
    <w:pPr>
      <w:ind w:hanging="0" w:start="907" w:end="0"/>
    </w:pPr>
    <w:rPr/>
  </w:style>
  <w:style w:type="paragraph" w:styleId="EndnoteText">
    <w:name w:val="endnote text"/>
    <w:basedOn w:val="Normal"/>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PARADIGM.DOT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2001-04-17T12:35:00Z</dcterms:created>
  <dc:creator>Paradigm Associates Group</dc:creator>
  <dc:description/>
  <dc:language>en-CA</dc:language>
  <cp:lastModifiedBy>gpresas</cp:lastModifiedBy>
  <cp:lastPrinted>1998-12-24T14:25:00Z</cp:lastPrinted>
  <dcterms:modified xsi:type="dcterms:W3CDTF">2001-04-17T12:35:00Z</dcterms:modified>
  <cp:revision>2</cp:revision>
  <dc:subject/>
  <dc:title>Title</dc:title>
</cp:coreProperties>
</file>