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480"/>
        <w:rPr>
          <w:lang w:val="en-CA" w:eastAsia="en-CA"/>
        </w:rPr>
      </w:pPr>
      <w:r>
        <mc:AlternateContent>
          <mc:Choice Requires="wpg">
            <w:drawing>
              <wp:anchor behindDoc="0" distT="0" distB="0" distL="114935" distR="114935" simplePos="0" locked="0" layoutInCell="0" allowOverlap="1" relativeHeight="12">
                <wp:simplePos x="0" y="0"/>
                <wp:positionH relativeFrom="page">
                  <wp:posOffset>1391920</wp:posOffset>
                </wp:positionH>
                <wp:positionV relativeFrom="page">
                  <wp:posOffset>6693535</wp:posOffset>
                </wp:positionV>
                <wp:extent cx="1550670" cy="2171065"/>
                <wp:effectExtent l="0" t="0" r="0" b="0"/>
                <wp:wrapNone/>
                <wp:docPr id="1" name=""/>
                <a:graphic xmlns:a="http://schemas.openxmlformats.org/drawingml/2006/main">
                  <a:graphicData uri="http://schemas.microsoft.com/office/word/2010/wordprocessingGroup">
                    <wpg:wgp>
                      <wpg:cNvGrpSpPr/>
                      <wpg:grpSpPr>
                        <a:xfrm>
                          <a:off x="0" y="0"/>
                          <a:ext cx="1550520" cy="2171160"/>
                          <a:chOff x="0" y="0"/>
                          <a:chExt cx="1550520" cy="2171160"/>
                        </a:xfrm>
                      </wpg:grpSpPr>
                      <wps:wsp>
                        <wps:cNvSpPr txBox="1"/>
                        <wps:spPr>
                          <a:xfrm>
                            <a:off x="0" y="1820520"/>
                            <a:ext cx="1550520" cy="350640"/>
                          </a:xfrm>
                          <a:prstGeom prst="rect">
                            <a:avLst/>
                          </a:prstGeom>
                          <a:noFill/>
                          <a:ln w="0">
                            <a:noFill/>
                          </a:ln>
                        </wps:spPr>
                        <wps:txbx>
                          <w:txbxContent>
                            <w:p>
                              <w:pPr>
                                <w:overflowPunct w:val="false"/>
                                <w:bidi w:val="0"/>
                                <w:spacing w:before="60" w:after="0"/>
                                <w:ind w:start="1166" w:end="0" w:hanging="1166"/>
                                <w:rPr/>
                              </w:pPr>
                              <w:r>
                                <w:rPr>
                                  <w:kern w:val="2"/>
                                  <w:sz w:val="16"/>
                                  <w:szCs w:val="20"/>
                                  <w:rFonts w:ascii="Swis721 Ex BT;Zurich Ex BT" w:hAnsi="Swis721 Ex BT;Zurich Ex BT" w:eastAsia="Times New Roman" w:cs="Swis721 Ex BT;Zurich Ex BT"/>
                                  <w:color w:val="auto"/>
                                  <w:lang w:val="en-US" w:bidi="ar-SA"/>
                                </w:rPr>
                                <w:t>Head Office:  203.637.1092</w:t>
                              </w:r>
                            </w:p>
                            <w:p>
                              <w:pPr>
                                <w:overflowPunct w:val="false"/>
                                <w:bidi w:val="0"/>
                                <w:spacing w:before="60" w:after="0"/>
                                <w:ind w:start="1166" w:end="0" w:hanging="1166"/>
                                <w:rPr/>
                              </w:pPr>
                              <w:r>
                                <w:rPr>
                                  <w:kern w:val="2"/>
                                  <w:sz w:val="16"/>
                                  <w:szCs w:val="20"/>
                                  <w:rFonts w:ascii="Swis721 Ex BT;Zurich Ex BT" w:hAnsi="Swis721 Ex BT;Zurich Ex BT" w:eastAsia="Times New Roman" w:cs="Swis721 Ex BT;Zurich Ex BT"/>
                                  <w:color w:val="auto"/>
                                  <w:lang w:val="en-US" w:bidi="ar-SA"/>
                                </w:rPr>
                                <w:t>Texas:  281.360.7822</w:t>
                              </w:r>
                            </w:p>
                          </w:txbxContent>
                        </wps:txbx>
                        <wps:bodyPr wrap="square" lIns="0" rIns="0" tIns="0" bIns="0" anchor="t">
                          <a:noAutofit/>
                        </wps:bodyPr>
                      </wps:wsp>
                      <pic:pic xmlns:pic="http://schemas.openxmlformats.org/drawingml/2006/picture">
                        <pic:nvPicPr>
                          <pic:cNvPr id="2" name="Paradigm%20LOGO%20PMS021" descr=""/>
                          <pic:cNvPicPr/>
                        </pic:nvPicPr>
                        <pic:blipFill>
                          <a:blip r:embed="rId2"/>
                          <a:stretch/>
                        </pic:blipFill>
                        <pic:spPr>
                          <a:xfrm>
                            <a:off x="9360" y="0"/>
                            <a:ext cx="1427400" cy="1776240"/>
                          </a:xfrm>
                          <a:prstGeom prst="rect">
                            <a:avLst/>
                          </a:prstGeom>
                          <a:noFill/>
                          <a:ln w="0">
                            <a:noFill/>
                          </a:ln>
                        </pic:spPr>
                      </pic:pic>
                    </wpg:wgp>
                  </a:graphicData>
                </a:graphic>
              </wp:anchor>
            </w:drawing>
          </mc:Choice>
          <mc:Fallback>
            <w:pict>
              <v:group id="shape_0" style="position:absolute;margin-left:109.6pt;margin-top:527.05pt;width:122.1pt;height:170.95pt" coordorigin="2192,10541" coordsize="2442,3419">
                <v:shapetype id="_x0000_t202" coordsize="21600,21600" o:spt="202" path="m,l,21600l21600,21600l21600,xe">
                  <v:stroke joinstyle="miter"/>
                  <v:path gradientshapeok="t" o:connecttype="rect"/>
                </v:shapetype>
                <v:shape id="shape_0" stroked="f" o:allowincell="f" style="position:absolute;left:2192;top:13408;width:2441;height:551;mso-wrap-style:square;v-text-anchor:top;mso-position-horizontal-relative:page;mso-position-vertical-relative:page" type="_x0000_t202">
                  <v:textbox>
                    <w:txbxContent>
                      <w:p>
                        <w:pPr>
                          <w:overflowPunct w:val="false"/>
                          <w:bidi w:val="0"/>
                          <w:spacing w:before="60" w:after="0"/>
                          <w:ind w:start="1166" w:end="0" w:hanging="1166"/>
                          <w:rPr/>
                        </w:pPr>
                        <w:r>
                          <w:rPr>
                            <w:kern w:val="2"/>
                            <w:sz w:val="16"/>
                            <w:szCs w:val="20"/>
                            <w:rFonts w:ascii="Swis721 Ex BT;Zurich Ex BT" w:hAnsi="Swis721 Ex BT;Zurich Ex BT" w:eastAsia="Times New Roman" w:cs="Swis721 Ex BT;Zurich Ex BT"/>
                            <w:color w:val="auto"/>
                            <w:lang w:val="en-US" w:bidi="ar-SA"/>
                          </w:rPr>
                          <w:t>Head Office:  203.637.1092</w:t>
                        </w:r>
                      </w:p>
                      <w:p>
                        <w:pPr>
                          <w:overflowPunct w:val="false"/>
                          <w:bidi w:val="0"/>
                          <w:spacing w:before="60" w:after="0"/>
                          <w:ind w:start="1166" w:end="0" w:hanging="1166"/>
                          <w:rPr/>
                        </w:pPr>
                        <w:r>
                          <w:rPr>
                            <w:kern w:val="2"/>
                            <w:sz w:val="16"/>
                            <w:szCs w:val="20"/>
                            <w:rFonts w:ascii="Swis721 Ex BT;Zurich Ex BT" w:hAnsi="Swis721 Ex BT;Zurich Ex BT" w:eastAsia="Times New Roman" w:cs="Swis721 Ex BT;Zurich Ex BT"/>
                            <w:color w:val="auto"/>
                            <w:lang w:val="en-US" w:bidi="ar-SA"/>
                          </w:rPr>
                          <w:t>Texas:  281.360.7822</w:t>
                        </w:r>
                      </w:p>
                    </w:txbxContent>
                  </v:textbox>
                  <v:fill o:detectmouseclick="t" on="false"/>
                  <v:stroke color="#3465a4" joinstyle="round" endcap="flat"/>
                  <w10:wrap type="none"/>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aradigm%20LOGO%20PMS021" stroked="f" o:allowincell="f" style="position:absolute;left:2206;top:10541;width:2247;height:2796;mso-wrap-style:none;v-text-anchor:middle;mso-position-horizontal-relative:page;mso-position-vertical-relative:page" type="_x0000_t75">
                  <v:imagedata r:id="rId3" o:detectmouseclick="t"/>
                  <v:stroke color="#3465a4" joinstyle="round" endcap="flat"/>
                  <w10:wrap type="none"/>
                </v:shape>
              </v:group>
            </w:pict>
          </mc:Fallback>
        </mc:AlternateContent>
      </w:r>
      <w:r>
        <w:rPr>
          <w:lang w:val="en-CA" w:eastAsia="en-CA"/>
        </w:rPr>
        <w:t>Derivatives I</w:t>
      </w:r>
    </w:p>
    <w:p>
      <w:pPr>
        <w:pStyle w:val="Heading"/>
        <w:rPr>
          <w:lang w:val="en-CA" w:eastAsia="en-CA"/>
        </w:rPr>
      </w:pPr>
      <w:r>
        <w:rPr>
          <w:lang w:val="en-CA" w:eastAsia="en-CA"/>
        </w:rPr>
        <w:t>Review Quiz:</w:t>
        <w:br/>
        <w:t>Options</w:t>
      </w:r>
    </w:p>
    <w:p>
      <w:pPr>
        <w:pStyle w:val="Heading"/>
        <w:rPr>
          <w:lang w:val="en-CA" w:eastAsia="en-CA"/>
        </w:rPr>
      </w:pPr>
      <w:r>
        <w:rPr>
          <w:lang w:val="en-CA" w:eastAsia="en-CA"/>
        </w:rPr>
      </w:r>
    </w:p>
    <w:p>
      <w:pPr>
        <w:sectPr>
          <w:type w:val="nextPage"/>
          <w:pgSz w:w="12240" w:h="15840"/>
          <w:pgMar w:left="2160" w:right="1800" w:gutter="0" w:header="0" w:top="3600" w:footer="0" w:bottom="1440"/>
          <w:pgNumType w:fmt="decimal"/>
          <w:formProt w:val="false"/>
          <w:textDirection w:val="lrTb"/>
          <w:docGrid w:type="default" w:linePitch="360" w:charSpace="0"/>
        </w:sectPr>
        <w:pStyle w:val="Subtitle"/>
        <w:tabs>
          <w:tab w:val="clear" w:pos="720"/>
          <w:tab w:val="left" w:pos="3600" w:leader="none"/>
        </w:tabs>
        <w:rPr/>
      </w:pPr>
      <w:r>
        <w:rPr/>
      </w:r>
    </w:p>
    <w:p>
      <w:pPr>
        <w:pStyle w:val="Normal"/>
        <w:rPr>
          <w:rFonts w:ascii="Swis721 Md BT;Arial" w:hAnsi="Swis721 Md BT;Arial" w:cs="Swis721 Md BT;Arial"/>
          <w:sz w:val="22"/>
        </w:rPr>
      </w:pPr>
      <w:r>
        <w:rPr>
          <w:rFonts w:cs="Swis721 Md BT;Arial" w:ascii="Swis721 Md BT;Arial" w:hAnsi="Swis721 Md BT;Arial"/>
          <w:sz w:val="22"/>
        </w:rPr>
        <w:t xml:space="preserve">For exercises 1–5, determine whether the options are in-the-money, out-of-the-money, at-the-money or indeterminable. </w:t>
      </w:r>
    </w:p>
    <w:p>
      <w:pPr>
        <w:pStyle w:val="P-Question-A"/>
        <w:keepLines/>
        <w:numPr>
          <w:ilvl w:val="0"/>
          <w:numId w:val="4"/>
        </w:numPr>
        <w:spacing w:lineRule="auto" w:line="240" w:before="600" w:after="120"/>
        <w:rPr/>
      </w:pPr>
      <w:r>
        <w:rPr/>
        <w:t>A natural gas burner owns a call on May Henry Hub natural gas at a strike of $4.45/MMBtu.  The market price for May Henry Hub is $4.31/MMBtu.</w:t>
      </w:r>
    </w:p>
    <w:p>
      <w:pPr>
        <w:pStyle w:val="Heading5"/>
        <w:rPr/>
      </w:pPr>
      <w:r>
        <w:rPr/>
      </w:r>
    </w:p>
    <w:p>
      <w:pPr>
        <w:pStyle w:val="Normal"/>
        <w:ind w:start="720" w:end="0"/>
        <w:rPr/>
      </w:pPr>
      <w:r>
        <w:rPr/>
      </w:r>
    </w:p>
    <w:p>
      <w:pPr>
        <w:pStyle w:val="P-Question-A"/>
        <w:keepLines/>
        <w:numPr>
          <w:ilvl w:val="0"/>
          <w:numId w:val="4"/>
        </w:numPr>
        <w:spacing w:lineRule="auto" w:line="240" w:before="480" w:after="120"/>
        <w:rPr/>
      </w:pPr>
      <w:r>
        <w:rPr/>
        <w:t>A natural gas producer has sold a January call on Alberta natural gas at strike of  $4.05/MMBtu.  It is October and prompt month Alberta gas is trading at $3.65.</w:t>
      </w:r>
    </w:p>
    <w:p>
      <w:pPr>
        <w:pStyle w:val="Heading5"/>
        <w:rPr/>
      </w:pPr>
      <w:r>
        <w:rPr/>
      </w:r>
    </w:p>
    <w:p>
      <w:pPr>
        <w:pStyle w:val="Normal"/>
        <w:ind w:start="720" w:end="0"/>
        <w:rPr/>
      </w:pPr>
      <w:r>
        <w:rPr/>
      </w:r>
    </w:p>
    <w:p>
      <w:pPr>
        <w:pStyle w:val="P-Question-A"/>
        <w:keepLines/>
        <w:numPr>
          <w:ilvl w:val="0"/>
          <w:numId w:val="4"/>
        </w:numPr>
        <w:spacing w:lineRule="auto" w:line="240" w:before="480" w:after="120"/>
        <w:rPr/>
      </w:pPr>
      <w:r>
        <w:rPr/>
        <w:t>An independent power producer buys a put on COB electricity for May delivery at a strike of $34.90/MWh.  Current market price at COB for May is $31.40/MWh.</w:t>
      </w:r>
    </w:p>
    <w:p>
      <w:pPr>
        <w:pStyle w:val="Heading5"/>
        <w:rPr/>
      </w:pPr>
      <w:r>
        <w:rPr/>
      </w:r>
    </w:p>
    <w:p>
      <w:pPr>
        <w:pStyle w:val="Normal"/>
        <w:ind w:start="720" w:end="0"/>
        <w:rPr/>
      </w:pPr>
      <w:r>
        <w:rPr/>
      </w:r>
    </w:p>
    <w:p>
      <w:pPr>
        <w:pStyle w:val="P-Question-A"/>
        <w:keepLines/>
        <w:numPr>
          <w:ilvl w:val="0"/>
          <w:numId w:val="4"/>
        </w:numPr>
        <w:spacing w:lineRule="auto" w:line="240" w:before="480" w:after="120"/>
        <w:rPr/>
      </w:pPr>
      <w:r>
        <w:rPr/>
        <w:t>A utility owns an American-style call on natural gas at a strike of $4.45/MMBtu for October delivery.  It is currently July, and prompt month natural gas is $4.62/MMBtu and October natural gas is priced at $4.33/MMBtu.</w:t>
      </w:r>
    </w:p>
    <w:p>
      <w:pPr>
        <w:pStyle w:val="Heading5"/>
        <w:rPr/>
      </w:pPr>
      <w:r>
        <w:rPr/>
      </w:r>
    </w:p>
    <w:p>
      <w:pPr>
        <w:pStyle w:val="Normal"/>
        <w:ind w:start="720" w:end="0"/>
        <w:rPr/>
      </w:pPr>
      <w:r>
        <w:rPr/>
      </w:r>
    </w:p>
    <w:p>
      <w:pPr>
        <w:pStyle w:val="P-Question-A"/>
        <w:keepLines/>
        <w:numPr>
          <w:ilvl w:val="0"/>
          <w:numId w:val="4"/>
        </w:numPr>
        <w:spacing w:lineRule="auto" w:line="240" w:before="480" w:after="120"/>
        <w:rPr/>
      </w:pPr>
      <w:r>
        <w:rPr/>
        <w:t>A utility owns an American-style call on PJM electricity September futures at a strike of $29.25/MWh.  It is currently June and July power at PJM is $31.05 while September power at PJM is $28.10.</w:t>
      </w:r>
    </w:p>
    <w:p>
      <w:pPr>
        <w:pStyle w:val="Heading5"/>
        <w:rPr/>
      </w:pPr>
      <w:r>
        <w:rPr/>
      </w:r>
    </w:p>
    <w:p>
      <w:pPr>
        <w:pStyle w:val="Normal"/>
        <w:ind w:start="720" w:end="0"/>
        <w:rPr/>
      </w:pPr>
      <w:r>
        <w:rPr/>
      </w:r>
    </w:p>
    <w:p>
      <w:pPr>
        <w:pStyle w:val="Heading4"/>
        <w:spacing w:before="600" w:after="120"/>
        <w:ind w:hanging="0" w:start="0"/>
        <w:rPr/>
      </w:pPr>
      <w:r>
        <w:rPr/>
        <w:t>Information For Exercises 6–8</w:t>
      </w:r>
    </w:p>
    <w:p>
      <w:pPr>
        <w:pStyle w:val="Normal"/>
        <w:rPr>
          <w:rFonts w:ascii="Swis721 Md BT;Arial" w:hAnsi="Swis721 Md BT;Arial" w:cs="Swis721 Md BT;Arial"/>
          <w:sz w:val="22"/>
        </w:rPr>
      </w:pPr>
      <w:r>
        <w:rPr>
          <w:rFonts w:cs="Swis721 Md BT;Arial" w:ascii="Swis721 Md BT;Arial" w:hAnsi="Swis721 Md BT;Arial"/>
          <w:sz w:val="22"/>
        </w:rPr>
        <w:t>A natural gas producer had purchased an American-style put on September Permian Basin gas.  The strike price is $3.55.  In June, with the September Permian Basin gas trading at $3.40/MMBtu, the producer can sell the put and earn a premium of  $0.23/MMBtu.</w:t>
      </w:r>
    </w:p>
    <w:p>
      <w:pPr>
        <w:pStyle w:val="P-Question-A"/>
        <w:keepLines/>
        <w:numPr>
          <w:ilvl w:val="0"/>
          <w:numId w:val="4"/>
        </w:numPr>
        <w:spacing w:lineRule="auto" w:line="240" w:before="600" w:after="120"/>
        <w:rPr/>
      </w:pPr>
      <w:r>
        <w:rPr/>
        <w:t>What is the intrinsic value of the September put?</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(A)</w:t>
        <w:tab/>
        <w:t>$0.23</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(B)</w:t>
        <w:tab/>
        <w:t>$0.08</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(C)</w:t>
        <w:tab/>
        <w:t>$0.15</w:t>
      </w:r>
    </w:p>
    <w:p>
      <w:pPr>
        <w:pStyle w:val="Heading5"/>
        <w:rPr/>
      </w:pPr>
      <w:r>
        <w:rPr/>
      </w:r>
    </w:p>
    <w:p>
      <w:pPr>
        <w:pStyle w:val="Normal"/>
        <w:ind w:start="720" w:end="0"/>
        <w:rPr/>
      </w:pPr>
      <w:r>
        <w:rPr/>
      </w:r>
    </w:p>
    <w:p>
      <w:pPr>
        <w:pStyle w:val="P-Question-A"/>
        <w:keepLines/>
        <w:numPr>
          <w:ilvl w:val="0"/>
          <w:numId w:val="4"/>
        </w:numPr>
        <w:spacing w:lineRule="auto" w:line="240" w:before="600" w:after="120"/>
        <w:rPr/>
      </w:pPr>
      <w:r>
        <w:rPr/>
        <w:t>What is the time value of the September put?</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(A)</w:t>
        <w:tab/>
        <w:t>$0.23</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(B)</w:t>
        <w:tab/>
        <w:t>$0.08</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(C)</w:t>
        <w:tab/>
        <w:t>$0.15</w:t>
      </w:r>
    </w:p>
    <w:p>
      <w:pPr>
        <w:pStyle w:val="Heading5"/>
        <w:rPr/>
      </w:pPr>
      <w:r>
        <w:rPr/>
      </w:r>
    </w:p>
    <w:p>
      <w:pPr>
        <w:pStyle w:val="Normal"/>
        <w:ind w:start="720" w:end="0"/>
        <w:rPr/>
      </w:pPr>
      <w:r>
        <w:rPr/>
      </w:r>
    </w:p>
    <w:p>
      <w:pPr>
        <w:pStyle w:val="P-Question-A"/>
        <w:keepLines/>
        <w:numPr>
          <w:ilvl w:val="0"/>
          <w:numId w:val="4"/>
        </w:numPr>
        <w:spacing w:lineRule="auto" w:line="240" w:before="600" w:after="120"/>
        <w:rPr/>
      </w:pPr>
      <w:r>
        <w:rPr/>
        <w:t>If the producer wanted to terminate the put position in June, the better strategy would be</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(A)</w:t>
        <w:tab/>
        <w:t>To exercise the American option</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(B)</w:t>
        <w:tab/>
        <w:t>To sell the option</w:t>
      </w:r>
    </w:p>
    <w:p>
      <w:pPr>
        <w:pStyle w:val="Normal"/>
        <w:tabs>
          <w:tab w:val="center" w:pos="720" w:leader="none"/>
          <w:tab w:val="right" w:pos="1080" w:leader="none"/>
          <w:tab w:val="left" w:pos="1800" w:leader="none"/>
        </w:tabs>
        <w:spacing w:lineRule="exact" w:line="280" w:before="60" w:after="240"/>
        <w:ind w:hanging="907" w:start="1267" w:end="0"/>
        <w:rPr/>
      </w:pPr>
      <w:r>
        <w:rPr>
          <w:rFonts w:cs="Swis721 BT;Arial" w:ascii="Swis721 BT;Arial" w:hAnsi="Swis721 BT;Arial"/>
          <w:b/>
          <w:u w:val="single"/>
        </w:rPr>
        <w:tab/>
        <w:tab/>
      </w:r>
      <w:r>
        <w:rPr/>
        <w:tab/>
        <w:t>(C)</w:t>
        <w:tab/>
        <w:t>To buy a call at the same strike price</w:t>
      </w:r>
    </w:p>
    <w:p>
      <w:pPr>
        <w:pStyle w:val="Heading5"/>
        <w:rPr/>
      </w:pPr>
      <w:r>
        <w:rPr/>
      </w:r>
    </w:p>
    <w:p>
      <w:pPr>
        <w:pStyle w:val="Normal"/>
        <w:ind w:start="720" w:end="0"/>
        <w:rPr/>
      </w:pPr>
      <w:r>
        <w:rPr/>
        <w:br/>
      </w:r>
    </w:p>
    <w:p>
      <w:pPr>
        <w:pStyle w:val="Normal"/>
        <w:rPr/>
      </w:pPr>
      <w:r>
        <w:rPr>
          <w:rFonts w:cs="Swis721 Md BT;Arial" w:ascii="Swis721 Md BT;Arial" w:hAnsi="Swis721 Md BT;Arial"/>
          <w:sz w:val="22"/>
        </w:rPr>
        <w:t xml:space="preserve">For exercises 9–12, determine which of the two circumstances would cause the option premium to be higher </w:t>
      </w:r>
      <w:r>
        <w:rPr>
          <w:rFonts w:cs="Swis721 Md BT;Arial" w:ascii="Swis721 Md BT;Arial" w:hAnsi="Swis721 Md BT;Arial"/>
          <w:i/>
          <w:iCs/>
          <w:sz w:val="22"/>
        </w:rPr>
        <w:t>assuming all other parameters are the same</w:t>
      </w:r>
      <w:r>
        <w:rPr>
          <w:rFonts w:cs="Swis721 Md BT;Arial" w:ascii="Swis721 Md BT;Arial" w:hAnsi="Swis721 Md BT;Arial"/>
          <w:sz w:val="22"/>
        </w:rPr>
        <w:t>.</w:t>
      </w:r>
    </w:p>
    <w:p>
      <w:pPr>
        <w:pStyle w:val="P-Question-A"/>
        <w:keepLines/>
        <w:numPr>
          <w:ilvl w:val="0"/>
          <w:numId w:val="4"/>
        </w:numPr>
        <w:tabs>
          <w:tab w:val="clear" w:pos="720"/>
          <w:tab w:val="left" w:pos="360" w:leader="none"/>
          <w:tab w:val="left" w:pos="810" w:leader="none"/>
        </w:tabs>
        <w:spacing w:lineRule="auto" w:line="240" w:before="600" w:after="120"/>
        <w:ind w:hanging="806" w:start="806" w:end="0"/>
        <w:rPr/>
      </w:pPr>
      <w:r>
        <w:rPr/>
        <w:t>(A)</w:t>
        <w:tab/>
        <w:t>A twelve-month Henry Hub natural gas call at $4.20 with the prompt month price at $3.90 and the curve is backwardated; or</w:t>
      </w:r>
    </w:p>
    <w:p>
      <w:pPr>
        <w:pStyle w:val="P-Question-A"/>
        <w:numPr>
          <w:ilvl w:val="0"/>
          <w:numId w:val="5"/>
        </w:numPr>
        <w:tabs>
          <w:tab w:val="clear" w:pos="720"/>
          <w:tab w:val="left" w:pos="810" w:leader="none"/>
        </w:tabs>
        <w:ind w:hanging="446" w:start="806" w:end="0"/>
        <w:rPr>
          <w:bCs/>
          <w:u w:val="single"/>
        </w:rPr>
      </w:pPr>
      <w:r>
        <w:rPr>
          <w:bCs/>
        </w:rPr>
        <w:t>A twelve-month Henry Hub natural gas call at $4.20 with the prompt month price at $3.90 and the curve is in contango</w:t>
      </w:r>
      <w:r>
        <w:rPr>
          <w:bCs/>
          <w:u w:val="single"/>
        </w:rPr>
        <w:t>.</w:t>
      </w:r>
    </w:p>
    <w:p>
      <w:pPr>
        <w:pStyle w:val="Heading5"/>
        <w:rPr>
          <w:bCs/>
          <w:u w:val="single"/>
        </w:rPr>
      </w:pPr>
      <w:r>
        <w:rPr>
          <w:bCs/>
          <w:u w:val="single"/>
        </w:rPr>
      </w:r>
    </w:p>
    <w:p>
      <w:pPr>
        <w:pStyle w:val="Normal"/>
        <w:ind w:start="720" w:end="0"/>
        <w:rPr/>
      </w:pPr>
      <w:r>
        <w:rPr/>
      </w:r>
    </w:p>
    <w:p>
      <w:pPr>
        <w:pStyle w:val="P-Question-A"/>
        <w:keepLines/>
        <w:numPr>
          <w:ilvl w:val="0"/>
          <w:numId w:val="4"/>
        </w:numPr>
        <w:tabs>
          <w:tab w:val="clear" w:pos="720"/>
          <w:tab w:val="left" w:pos="360" w:leader="none"/>
          <w:tab w:val="left" w:pos="810" w:leader="none"/>
        </w:tabs>
        <w:spacing w:lineRule="auto" w:line="240" w:before="600" w:after="120"/>
        <w:ind w:hanging="806" w:start="806" w:end="0"/>
        <w:rPr>
          <w:bCs/>
        </w:rPr>
      </w:pPr>
      <w:r>
        <w:rPr>
          <w:bCs/>
        </w:rPr>
        <w:t>(A)</w:t>
        <w:tab/>
        <w:t>A three-month call on WTI crude oil at a strike of $30.00; or</w:t>
      </w:r>
    </w:p>
    <w:p>
      <w:pPr>
        <w:pStyle w:val="P-Question-A"/>
        <w:numPr>
          <w:ilvl w:val="0"/>
          <w:numId w:val="6"/>
        </w:numPr>
        <w:tabs>
          <w:tab w:val="clear" w:pos="720"/>
          <w:tab w:val="left" w:pos="810" w:leader="none"/>
        </w:tabs>
        <w:ind w:hanging="446" w:start="806" w:end="0"/>
        <w:rPr/>
      </w:pPr>
      <w:r>
        <w:rPr/>
        <w:t>A three-month call on lower quality Brent crude oil at a strike of $30.00</w:t>
      </w:r>
    </w:p>
    <w:p>
      <w:pPr>
        <w:pStyle w:val="Heading5"/>
        <w:rPr/>
      </w:pPr>
      <w:r>
        <w:rPr/>
      </w:r>
    </w:p>
    <w:p>
      <w:pPr>
        <w:pStyle w:val="Normal"/>
        <w:ind w:start="720" w:end="0"/>
        <w:rPr/>
      </w:pPr>
      <w:r>
        <w:rPr/>
      </w:r>
    </w:p>
    <w:p>
      <w:pPr>
        <w:pStyle w:val="P-Question-A"/>
        <w:keepLines/>
        <w:numPr>
          <w:ilvl w:val="0"/>
          <w:numId w:val="4"/>
        </w:numPr>
        <w:tabs>
          <w:tab w:val="clear" w:pos="720"/>
          <w:tab w:val="left" w:pos="360" w:leader="none"/>
          <w:tab w:val="left" w:pos="810" w:leader="none"/>
        </w:tabs>
        <w:spacing w:lineRule="auto" w:line="240" w:before="600" w:after="120"/>
        <w:ind w:hanging="806" w:start="806" w:end="0"/>
        <w:rPr/>
      </w:pPr>
      <w:r>
        <w:rPr/>
        <w:t>(A)</w:t>
        <w:tab/>
        <w:t>A call on Palo Verde firm peak power at $42.00/MWh for two months with a flat price curve; or</w:t>
      </w:r>
    </w:p>
    <w:p>
      <w:pPr>
        <w:pStyle w:val="P-Question-A"/>
        <w:numPr>
          <w:ilvl w:val="0"/>
          <w:numId w:val="7"/>
        </w:numPr>
        <w:tabs>
          <w:tab w:val="clear" w:pos="720"/>
          <w:tab w:val="left" w:pos="810" w:leader="none"/>
        </w:tabs>
        <w:ind w:hanging="446" w:start="806" w:end="0"/>
        <w:rPr>
          <w:bCs/>
          <w:u w:val="single"/>
        </w:rPr>
      </w:pPr>
      <w:r>
        <w:rPr>
          <w:bCs/>
        </w:rPr>
        <w:t>A call on Palo Verde firm peak power at $42.00/MWh for six months with a flat price curve.</w:t>
      </w:r>
    </w:p>
    <w:p>
      <w:pPr>
        <w:pStyle w:val="Heading5"/>
        <w:keepNext w:val="false"/>
        <w:keepLines w:val="false"/>
        <w:spacing w:lineRule="atLeast" w:line="320" w:before="60" w:after="120"/>
        <w:ind w:hanging="446" w:start="806" w:end="0"/>
        <w:rPr>
          <w:bCs/>
          <w:u w:val="single"/>
        </w:rPr>
      </w:pPr>
      <w:r>
        <w:rPr>
          <w:bCs/>
          <w:u w:val="single"/>
        </w:rPr>
      </w:r>
    </w:p>
    <w:p>
      <w:pPr>
        <w:pStyle w:val="Normal"/>
        <w:ind w:start="720" w:end="0"/>
        <w:rPr/>
      </w:pPr>
      <w:r>
        <w:rPr/>
      </w:r>
    </w:p>
    <w:p>
      <w:pPr>
        <w:pStyle w:val="P-Question-A"/>
        <w:keepLines/>
        <w:numPr>
          <w:ilvl w:val="0"/>
          <w:numId w:val="4"/>
        </w:numPr>
        <w:tabs>
          <w:tab w:val="clear" w:pos="720"/>
          <w:tab w:val="left" w:pos="360" w:leader="none"/>
          <w:tab w:val="left" w:pos="810" w:leader="none"/>
        </w:tabs>
        <w:spacing w:lineRule="auto" w:line="240" w:before="600" w:after="120"/>
        <w:ind w:hanging="806" w:start="806" w:end="0"/>
        <w:rPr>
          <w:bCs/>
        </w:rPr>
      </w:pPr>
      <w:r>
        <w:rPr>
          <w:bCs/>
        </w:rPr>
        <w:t>(A)</w:t>
        <w:tab/>
        <w:t>A one-month Henry Hub natural gas put at $4.00 during a period of erratic price fluctuations; or</w:t>
      </w:r>
    </w:p>
    <w:p>
      <w:pPr>
        <w:pStyle w:val="P-Question-A"/>
        <w:numPr>
          <w:ilvl w:val="0"/>
          <w:numId w:val="2"/>
        </w:numPr>
        <w:tabs>
          <w:tab w:val="clear" w:pos="720"/>
          <w:tab w:val="left" w:pos="810" w:leader="none"/>
        </w:tabs>
        <w:ind w:hanging="446" w:start="806" w:end="0"/>
        <w:rPr/>
      </w:pPr>
      <w:r>
        <w:rPr/>
        <w:t>A one-month Henry Hub natural gas put at $4.00 during a period of stable prices.</w:t>
      </w:r>
    </w:p>
    <w:p>
      <w:pPr>
        <w:pStyle w:val="Heading5"/>
        <w:rPr/>
      </w:pPr>
      <w:r>
        <w:rPr/>
      </w:r>
    </w:p>
    <w:p>
      <w:pPr>
        <w:pStyle w:val="Normal"/>
        <w:ind w:start="720" w:end="0"/>
        <w:rPr/>
      </w:pPr>
      <w:r>
        <w:rPr/>
      </w:r>
    </w:p>
    <w:p>
      <w:pPr>
        <w:pStyle w:val="Normal"/>
        <w:rPr>
          <w:rFonts w:ascii="Swis721 Md BT;Arial" w:hAnsi="Swis721 Md BT;Arial" w:cs="Swis721 Md BT;Arial"/>
          <w:sz w:val="22"/>
        </w:rPr>
      </w:pPr>
      <w:r>
        <w:rPr>
          <w:rFonts w:cs="Swis721 Md BT;Arial" w:ascii="Swis721 Md BT;Arial" w:hAnsi="Swis721 Md BT;Arial"/>
          <w:sz w:val="22"/>
        </w:rPr>
        <w:t>For exercises 13–16, determine the appropriate hedge strategy for the following companies:</w:t>
      </w:r>
    </w:p>
    <w:p>
      <w:pPr>
        <w:pStyle w:val="P-Question-A"/>
        <w:keepLines/>
        <w:numPr>
          <w:ilvl w:val="0"/>
          <w:numId w:val="4"/>
        </w:numPr>
        <w:spacing w:lineRule="auto" w:line="240" w:before="600" w:after="120"/>
        <w:rPr/>
      </w:pPr>
      <w:r>
        <w:rPr/>
        <w:t>A power generator is operating on tight margins and expects the price of natural gas to increase over the next few months.  The generator sells power at a fixed price.</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(A)</w:t>
        <w:tab/>
        <w:t>Buy natural gas forward (i.e. fix the price)</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(B)</w:t>
        <w:tab/>
        <w:t>Buy natural gas at index prices</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(C)</w:t>
        <w:tab/>
        <w:t>Buy natural gas at index and buy a call</w:t>
      </w:r>
    </w:p>
    <w:p>
      <w:pPr>
        <w:pStyle w:val="Normal"/>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(D)</w:t>
        <w:tab/>
        <w:t>Buy natural gas at index and sell a put</w:t>
      </w:r>
    </w:p>
    <w:p>
      <w:pPr>
        <w:pStyle w:val="Heading5"/>
        <w:rPr/>
      </w:pPr>
      <w:r>
        <w:rPr/>
      </w:r>
    </w:p>
    <w:p>
      <w:pPr>
        <w:pStyle w:val="Normal"/>
        <w:ind w:start="720" w:end="0"/>
        <w:rPr/>
      </w:pPr>
      <w:r>
        <w:rPr/>
        <w:br/>
      </w:r>
    </w:p>
    <w:p>
      <w:pPr>
        <w:pStyle w:val="P-Question-A"/>
        <w:keepLines/>
        <w:numPr>
          <w:ilvl w:val="0"/>
          <w:numId w:val="4"/>
        </w:numPr>
        <w:spacing w:lineRule="auto" w:line="240" w:before="600" w:after="120"/>
        <w:rPr/>
      </w:pPr>
      <w:r>
        <w:rPr/>
        <w:t>A profitable and well-capitalized fertilizer company expects natural gas prices to decline over the next twelve months.  As a result management is unwilling to pay for price protection and is willing to incur higher expenses should prices rise.</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(A)</w:t>
        <w:tab/>
        <w:t>Buy natural gas forward (i.e. fix the price)</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(B)</w:t>
        <w:tab/>
        <w:t>Buy natural gas at index prices</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(C)</w:t>
        <w:tab/>
        <w:t>Buy natural gas at index and buy a call</w:t>
      </w:r>
    </w:p>
    <w:p>
      <w:pPr>
        <w:pStyle w:val="Normal"/>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(D)</w:t>
        <w:tab/>
        <w:t>Buy natural gas at index and sell a put</w:t>
      </w:r>
    </w:p>
    <w:p>
      <w:pPr>
        <w:pStyle w:val="Heading5"/>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P-Question-A"/>
        <w:keepLines/>
        <w:numPr>
          <w:ilvl w:val="0"/>
          <w:numId w:val="4"/>
        </w:numPr>
        <w:spacing w:lineRule="auto" w:line="240" w:before="600" w:after="120"/>
        <w:rPr/>
      </w:pPr>
      <w:r>
        <w:rPr/>
        <w:t>A utility that routinely purchases power expects electricity prices to decline for the next few months.  It would like to enjoy the benefits of the lower prices.  However, an increase in power cost from a rise in prices would squeeze earnings just ahead of the annual shareholders meeting.</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(A)</w:t>
        <w:tab/>
        <w:t>Buy electricity forward (i.e. fix the price)</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(B)</w:t>
        <w:tab/>
        <w:t>Buy electricity at index prices</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(C)</w:t>
        <w:tab/>
        <w:t>Buy electricity at index and buy a call</w:t>
      </w:r>
    </w:p>
    <w:p>
      <w:pPr>
        <w:pStyle w:val="Normal"/>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(D)</w:t>
        <w:tab/>
        <w:t>Buy electricity at index and sell a put</w:t>
      </w:r>
    </w:p>
    <w:p>
      <w:pPr>
        <w:pStyle w:val="Heading5"/>
        <w:rPr/>
      </w:pPr>
      <w:r>
        <w:rPr/>
      </w:r>
    </w:p>
    <w:p>
      <w:pPr>
        <w:pStyle w:val="Normal"/>
        <w:ind w:start="720" w:end="0"/>
        <w:rPr/>
      </w:pPr>
      <w:r>
        <w:rPr/>
      </w:r>
    </w:p>
    <w:p>
      <w:pPr>
        <w:pStyle w:val="P-Question-A"/>
        <w:keepLines/>
        <w:numPr>
          <w:ilvl w:val="0"/>
          <w:numId w:val="4"/>
        </w:numPr>
        <w:spacing w:lineRule="auto" w:line="240" w:before="600" w:after="120"/>
        <w:rPr/>
      </w:pPr>
      <w:r>
        <w:rPr/>
        <w:t xml:space="preserve">A utility purchases natural gas under a supply agreement, which fixes the price of gas for the next twelve months at $3.85.  Under the agreement, the monthly volume is 2.5 million MMBtu with a </w:t>
      </w:r>
      <w:r>
        <w:rPr>
          <w:rFonts w:cs="Symbol" w:ascii="Symbol" w:hAnsi="Symbol"/>
        </w:rPr>
        <w:sym w:font="Symbol" w:char="f0b1"/>
      </w:r>
      <w:r>
        <w:rPr/>
        <w:t>10% swing.  Embedded in this structure is:</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(A)</w:t>
        <w:tab/>
        <w:t>A put option on 250,000 MMBtu</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(B)</w:t>
        <w:tab/>
        <w:t>A call option on 250,000 MMBtu</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(C)</w:t>
        <w:tab/>
        <w:t>A put option on 500,000 MMBtu</w:t>
      </w:r>
    </w:p>
    <w:p>
      <w:pPr>
        <w:pStyle w:val="Normal"/>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(D)</w:t>
        <w:tab/>
        <w:t>A call option on 500,000 MMBtu</w:t>
      </w:r>
    </w:p>
    <w:p>
      <w:pPr>
        <w:pStyle w:val="Heading5"/>
        <w:rPr/>
      </w:pPr>
      <w:r>
        <w:rPr/>
      </w:r>
    </w:p>
    <w:p>
      <w:pPr>
        <w:pStyle w:val="Normal"/>
        <w:ind w:start="720" w:end="0"/>
        <w:rPr/>
      </w:pPr>
      <w:r>
        <w:rPr/>
      </w:r>
    </w:p>
    <w:p>
      <w:pPr>
        <w:pStyle w:val="Normal"/>
        <w:spacing w:before="60" w:after="120"/>
        <w:rPr/>
      </w:pPr>
      <w:r>
        <w:rPr/>
      </w:r>
    </w:p>
    <w:sectPr>
      <w:headerReference w:type="default" r:id="rId4"/>
      <w:footerReference w:type="default" r:id="rId5"/>
      <w:type w:val="nextPage"/>
      <w:pgSz w:w="12240" w:h="15840"/>
      <w:pgMar w:left="2160" w:right="1800" w:gutter="0" w:header="720" w:top="1872"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wis721 Md BT">
    <w:altName w:val="Arial"/>
    <w:charset w:val="00" w:characterSet="windows-1252"/>
    <w:family w:val="swiss"/>
    <w:pitch w:val="variable"/>
  </w:font>
  <w:font w:name="Swis721 Cn BT">
    <w:altName w:val="Arial Narrow"/>
    <w:charset w:val="00" w:characterSet="windows-1252"/>
    <w:family w:val="swiss"/>
    <w:pitch w:val="variable"/>
  </w:font>
  <w:font w:name="Arial Rounded MT Bold">
    <w:charset w:val="00" w:characterSet="windows-1252"/>
    <w:family w:val="swiss"/>
    <w:pitch w:val="variable"/>
  </w:font>
  <w:font w:name="Swis721 BT">
    <w:altName w:val="Arial"/>
    <w:charset w:val="00" w:characterSet="windows-1252"/>
    <w:family w:val="swiss"/>
    <w:pitch w:val="variable"/>
  </w:font>
  <w:font w:name="Tahoma">
    <w:charset w:val="00" w:characterSet="windows-1252"/>
    <w:family w:val="swiss"/>
    <w:pitch w:val="variable"/>
  </w:font>
  <w:font w:name="Swis721 Ex BT">
    <w:altName w:val="Zurich Ex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120"/>
      <w:rPr>
        <w:sz w:val="20"/>
      </w:rPr>
    </w:pPr>
    <w:r>
      <w:rPr>
        <w:sz w:val="20"/>
      </w:rPr>
    </w:r>
    <w:r>
      <mc:AlternateContent>
        <mc:Choice Requires="wps">
          <w:drawing>
            <wp:anchor behindDoc="1" distT="0" distB="0" distL="114935" distR="114935" simplePos="0" locked="0" layoutInCell="0" allowOverlap="1" relativeHeight="11">
              <wp:simplePos x="0" y="0"/>
              <wp:positionH relativeFrom="page">
                <wp:posOffset>1280160</wp:posOffset>
              </wp:positionH>
              <wp:positionV relativeFrom="page">
                <wp:posOffset>9399905</wp:posOffset>
              </wp:positionV>
              <wp:extent cx="5486400" cy="274320"/>
              <wp:effectExtent l="0" t="0" r="0" b="0"/>
              <wp:wrapNone/>
              <wp:docPr id="4" name="Frame1"/>
              <a:graphic xmlns:a="http://schemas.openxmlformats.org/drawingml/2006/main">
                <a:graphicData uri="http://schemas.microsoft.com/office/word/2010/wordprocessingShape">
                  <wps:wsp>
                    <wps:cNvSpPr txBox="1"/>
                    <wps:spPr>
                      <a:xfrm>
                        <a:off x="0" y="0"/>
                        <a:ext cx="5486400" cy="274320"/>
                      </a:xfrm>
                      <a:prstGeom prst="rect"/>
                      <a:solidFill>
                        <a:srgbClr val="FFFFFF">
                          <a:alpha val="0"/>
                        </a:srgbClr>
                      </a:solidFill>
                    </wps:spPr>
                    <wps:txbx>
                      <w:txbxContent>
                        <w:p>
                          <w:pPr>
                            <w:pStyle w:val="Header"/>
                            <w:tabs>
                              <w:tab w:val="clear" w:pos="4320"/>
                              <w:tab w:val="clear" w:pos="8640"/>
                              <w:tab w:val="right" w:pos="8352" w:leader="none"/>
                            </w:tabs>
                            <w:spacing w:before="60" w:after="120"/>
                            <w:rPr/>
                          </w:pPr>
                          <w:r>
                            <w:rPr/>
                            <w:t>050.102</w:t>
                            <w:tab/>
                            <w:t>© 1997–2001, Paradigm Strategy Group, Inc.</w:t>
                          </w:r>
                        </w:p>
                      </w:txbxContent>
                    </wps:txbx>
                    <wps:bodyPr anchor="t" lIns="92075" tIns="46355" rIns="92075" bIns="46355">
                      <a:noAutofit/>
                    </wps:bodyPr>
                  </wps:wsp>
                </a:graphicData>
              </a:graphic>
            </wp:anchor>
          </w:drawing>
        </mc:Choice>
        <mc:Fallback>
          <w:pict>
            <v:rect fillcolor="#FFFFFF" style="position:absolute;rotation:-0;width:432pt;height:21.6pt;mso-wrap-distance-left:9.05pt;mso-wrap-distance-right:9.05pt;mso-wrap-distance-top:0pt;mso-wrap-distance-bottom:0pt;margin-top:740.15pt;mso-position-vertical-relative:page;margin-left:100.8pt;mso-position-horizontal-relative:page">
              <v:fill opacity="0f"/>
              <v:textbox inset="0.100694444444444in,0.0506944444444444in,0.100694444444444in,0.0506944444444444in">
                <w:txbxContent>
                  <w:p>
                    <w:pPr>
                      <w:pStyle w:val="Header"/>
                      <w:tabs>
                        <w:tab w:val="clear" w:pos="4320"/>
                        <w:tab w:val="clear" w:pos="8640"/>
                        <w:tab w:val="right" w:pos="8352" w:leader="none"/>
                      </w:tabs>
                      <w:spacing w:before="60" w:after="120"/>
                      <w:rPr/>
                    </w:pPr>
                    <w:r>
                      <w:rPr/>
                      <w:t>050.102</w:t>
                      <w:tab/>
                      <w:t>© 1997–2001, Paradigm Strategy Group, Inc.</w:t>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60" w:after="120"/>
      <w:rPr/>
    </w:pPr>
    <w:r>
      <w:rPr/>
      <w:t>Review Quiz:  Options</w:t>
    </w:r>
    <w:r>
      <mc:AlternateContent>
        <mc:Choice Requires="wps">
          <w:drawing>
            <wp:anchor behindDoc="0" distT="0" distB="0" distL="0" distR="0" simplePos="0" locked="0" layoutInCell="0" allowOverlap="1" relativeHeight="6">
              <wp:simplePos x="0" y="0"/>
              <wp:positionH relativeFrom="page">
                <wp:posOffset>7224395</wp:posOffset>
              </wp:positionH>
              <wp:positionV relativeFrom="paragraph">
                <wp:posOffset>6350</wp:posOffset>
              </wp:positionV>
              <wp:extent cx="64135" cy="184785"/>
              <wp:effectExtent l="0" t="0" r="0" b="0"/>
              <wp:wrapSquare wrapText="bothSides"/>
              <wp:docPr id="3" name="Frame2"/>
              <a:graphic xmlns:a="http://schemas.openxmlformats.org/drawingml/2006/main">
                <a:graphicData uri="http://schemas.microsoft.com/office/word/2010/wordprocessingShape">
                  <wps:wsp>
                    <wps:cNvSpPr txBox="1"/>
                    <wps:spPr>
                      <a:xfrm>
                        <a:off x="0" y="0"/>
                        <a:ext cx="64135" cy="184785"/>
                      </a:xfrm>
                      <a:prstGeom prst="rect"/>
                      <a:solidFill>
                        <a:srgbClr val="FFFFFF">
                          <a:alpha val="0"/>
                        </a:srgbClr>
                      </a:solidFill>
                    </wps:spPr>
                    <wps:txbx>
                      <w:txbxContent>
                        <w:p>
                          <w:pPr>
                            <w:pStyle w:val="Header"/>
                            <w:spacing w:before="6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4.55pt;mso-wrap-distance-left:0pt;mso-wrap-distance-right:0pt;mso-wrap-distance-top:0pt;mso-wrap-distance-bottom:0pt;margin-top:0.5pt;mso-position-vertical-relative:text;margin-left:568.85pt;mso-position-horizontal-relative:page">
              <v:fill opacity="0f"/>
              <v:textbox inset="0in,0in,0in,0in">
                <w:txbxContent>
                  <w:p>
                    <w:pPr>
                      <w:pStyle w:val="Header"/>
                      <w:spacing w:before="6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p>
    <w:pPr>
      <w:pStyle w:val="Header"/>
      <w:pBdr>
        <w:bottom w:val="single" w:sz="4" w:space="1" w:color="000000"/>
      </w:pBdr>
      <w:spacing w:before="12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Letter"/>
      <w:lvlText w:val="(%1)"/>
      <w:lvlJc w:val="start"/>
      <w:pPr>
        <w:tabs>
          <w:tab w:val="num" w:pos="720"/>
        </w:tabs>
        <w:ind w:start="720" w:hanging="360"/>
      </w:pPr>
      <w:rPr/>
    </w:lvl>
  </w:abstractNum>
  <w:abstractNum w:abstractNumId="3">
    <w:lvl w:ilvl="0">
      <w:start w:val="1"/>
      <w:numFmt w:val="bullet"/>
      <w:lvlText w:val=""/>
      <w:lvlJc w:val="start"/>
      <w:pPr>
        <w:tabs>
          <w:tab w:val="num" w:pos="540"/>
        </w:tabs>
        <w:ind w:start="54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2"/>
      <w:numFmt w:val="upperLetter"/>
      <w:lvlText w:val="(%1)"/>
      <w:lvlJc w:val="start"/>
      <w:pPr>
        <w:tabs>
          <w:tab w:val="num" w:pos="720"/>
        </w:tabs>
        <w:ind w:start="720" w:hanging="360"/>
      </w:pPr>
      <w:rPr/>
    </w:lvl>
  </w:abstractNum>
  <w:abstractNum w:abstractNumId="6">
    <w:lvl w:ilvl="0">
      <w:start w:val="2"/>
      <w:numFmt w:val="upperLetter"/>
      <w:lvlText w:val="(%1)"/>
      <w:lvlJc w:val="start"/>
      <w:pPr>
        <w:tabs>
          <w:tab w:val="num" w:pos="720"/>
        </w:tabs>
        <w:ind w:start="720" w:hanging="360"/>
      </w:pPr>
      <w:rPr/>
    </w:lvl>
  </w:abstractNum>
  <w:abstractNum w:abstractNumId="7">
    <w:lvl w:ilvl="0">
      <w:start w:val="2"/>
      <w:numFmt w:val="upperLetter"/>
      <w:lvlText w:val="(%1)"/>
      <w:lvlJc w:val="start"/>
      <w:pPr>
        <w:tabs>
          <w:tab w:val="num" w:pos="720"/>
        </w:tabs>
        <w:ind w:start="720" w:hanging="360"/>
      </w:pPr>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fullPage"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keepLines/>
      <w:widowControl/>
      <w:bidi w:val="0"/>
      <w:spacing w:before="60" w:after="12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pageBreakBefore/>
      <w:numPr>
        <w:ilvl w:val="0"/>
        <w:numId w:val="1"/>
      </w:numPr>
      <w:spacing w:before="60" w:after="360"/>
      <w:outlineLvl w:val="0"/>
    </w:pPr>
    <w:rPr>
      <w:rFonts w:ascii="Swis721 Md BT;Arial" w:hAnsi="Swis721 Md BT;Arial" w:cs="Swis721 Md BT;Arial"/>
      <w:b/>
      <w:sz w:val="40"/>
    </w:rPr>
  </w:style>
  <w:style w:type="paragraph" w:styleId="Heading2">
    <w:name w:val="heading 2"/>
    <w:basedOn w:val="Normal"/>
    <w:next w:val="Normal"/>
    <w:qFormat/>
    <w:pPr>
      <w:keepNext w:val="true"/>
      <w:numPr>
        <w:ilvl w:val="1"/>
        <w:numId w:val="1"/>
      </w:numPr>
      <w:spacing w:before="360" w:after="120"/>
      <w:outlineLvl w:val="1"/>
    </w:pPr>
    <w:rPr>
      <w:rFonts w:ascii="Swis721 Md BT;Arial" w:hAnsi="Swis721 Md BT;Arial" w:cs="Swis721 Md BT;Arial"/>
      <w:b/>
      <w:sz w:val="28"/>
    </w:rPr>
  </w:style>
  <w:style w:type="paragraph" w:styleId="Heading3">
    <w:name w:val="heading 3"/>
    <w:basedOn w:val="Normal"/>
    <w:next w:val="Normal"/>
    <w:qFormat/>
    <w:pPr>
      <w:keepNext w:val="true"/>
      <w:numPr>
        <w:ilvl w:val="2"/>
        <w:numId w:val="1"/>
      </w:numPr>
      <w:spacing w:before="240" w:after="120"/>
      <w:outlineLvl w:val="2"/>
    </w:pPr>
    <w:rPr>
      <w:rFonts w:ascii="Swis721 Md BT;Arial" w:hAnsi="Swis721 Md BT;Arial" w:cs="Swis721 Md BT;Arial"/>
      <w:b/>
      <w:i/>
    </w:rPr>
  </w:style>
  <w:style w:type="paragraph" w:styleId="Heading4">
    <w:name w:val="heading 4"/>
    <w:basedOn w:val="Normal"/>
    <w:next w:val="Normal"/>
    <w:qFormat/>
    <w:pPr>
      <w:keepNext w:val="true"/>
      <w:numPr>
        <w:ilvl w:val="3"/>
        <w:numId w:val="1"/>
      </w:numPr>
      <w:spacing w:before="120" w:after="60"/>
      <w:outlineLvl w:val="3"/>
    </w:pPr>
    <w:rPr>
      <w:rFonts w:ascii="Swis721 Md BT;Arial" w:hAnsi="Swis721 Md BT;Arial" w:cs="Swis721 Md BT;Arial"/>
      <w:sz w:val="22"/>
      <w:u w:val="single"/>
    </w:rPr>
  </w:style>
  <w:style w:type="paragraph" w:styleId="Heading5">
    <w:name w:val="heading 5"/>
    <w:basedOn w:val="Normal"/>
    <w:next w:val="Normal"/>
    <w:qFormat/>
    <w:pPr>
      <w:keepNext w:val="true"/>
      <w:numPr>
        <w:ilvl w:val="4"/>
        <w:numId w:val="1"/>
      </w:numPr>
      <w:spacing w:before="120" w:after="120"/>
      <w:ind w:hanging="0" w:start="360" w:end="0"/>
      <w:outlineLvl w:val="4"/>
    </w:pPr>
    <w:rPr>
      <w:rFonts w:ascii="Swis721 Cn BT;Arial Narrow" w:hAnsi="Swis721 Cn BT;Arial Narrow" w:cs="Swis721 Cn BT;Arial Narrow"/>
      <w:b/>
    </w:rPr>
  </w:style>
  <w:style w:type="paragraph" w:styleId="Heading6">
    <w:name w:val="heading 6"/>
    <w:basedOn w:val="Normal"/>
    <w:next w:val="Normal"/>
    <w:qFormat/>
    <w:pPr>
      <w:numPr>
        <w:ilvl w:val="5"/>
        <w:numId w:val="1"/>
      </w:numPr>
      <w:spacing w:before="120" w:after="120"/>
      <w:ind w:hanging="0" w:start="907" w:end="0"/>
      <w:outlineLvl w:val="5"/>
    </w:pPr>
    <w:rPr>
      <w:rFonts w:ascii="Arial Rounded MT Bold" w:hAnsi="Arial Rounded MT Bold" w:cs="Arial Rounded MT Bold"/>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7z0">
    <w:name w:val="WW8Num7z0"/>
    <w:qFormat/>
    <w:rPr>
      <w:rFonts w:ascii="Symbol" w:hAnsi="Symbol" w:cs="Symbol"/>
    </w:rPr>
  </w:style>
  <w:style w:type="character" w:styleId="WW8Num9z0">
    <w:name w:val="WW8Num9z0"/>
    <w:qFormat/>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9z0">
    <w:name w:val="WW8Num19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style>
  <w:style w:type="character" w:styleId="WW8Num29z0">
    <w:name w:val="WW8Num29z0"/>
    <w:qFormat/>
    <w:rPr/>
  </w:style>
  <w:style w:type="character" w:styleId="WW8Num32z0">
    <w:name w:val="WW8Num32z0"/>
    <w:qFormat/>
    <w:rPr/>
  </w:style>
  <w:style w:type="character" w:styleId="WW8Num34z0">
    <w:name w:val="WW8Num34z0"/>
    <w:qFormat/>
    <w:rPr/>
  </w:style>
  <w:style w:type="character" w:styleId="WW8Num39z0">
    <w:name w:val="WW8Num39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style>
  <w:style w:type="character" w:styleId="WW8Num49z0">
    <w:name w:val="WW8Num49z0"/>
    <w:qFormat/>
    <w:rPr>
      <w:rFonts w:ascii="Symbol" w:hAnsi="Symbol" w:cs="Symbol"/>
    </w:rPr>
  </w:style>
  <w:style w:type="character" w:styleId="WW8Num53z0">
    <w:name w:val="WW8Num53z0"/>
    <w:qFormat/>
    <w:rPr>
      <w:rFonts w:ascii="Symbol" w:hAnsi="Symbol" w:cs="Symbol"/>
    </w:rPr>
  </w:style>
  <w:style w:type="character" w:styleId="WW8Num55z0">
    <w:name w:val="WW8Num55z0"/>
    <w:qFormat/>
    <w:rPr>
      <w:rFonts w:ascii="Symbol" w:hAnsi="Symbol" w:cs="Symbol"/>
    </w:rPr>
  </w:style>
  <w:style w:type="character" w:styleId="WW8Num59z0">
    <w:name w:val="WW8Num59z0"/>
    <w:qFormat/>
    <w:rPr/>
  </w:style>
  <w:style w:type="character" w:styleId="WW8Num61z0">
    <w:name w:val="WW8Num61z0"/>
    <w:qFormat/>
    <w:rPr>
      <w:rFonts w:ascii="Symbol" w:hAnsi="Symbol" w:cs="Symbol"/>
    </w:rPr>
  </w:style>
  <w:style w:type="character" w:styleId="WW8Num63z0">
    <w:name w:val="WW8Num63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style>
  <w:style w:type="character" w:styleId="WW8Num69z0">
    <w:name w:val="WW8Num69z0"/>
    <w:qFormat/>
    <w:rPr>
      <w:rFonts w:ascii="Symbol" w:hAnsi="Symbol" w:cs="Symbol"/>
    </w:rPr>
  </w:style>
  <w:style w:type="character" w:styleId="WW8Num72z0">
    <w:name w:val="WW8Num72z0"/>
    <w:qFormat/>
    <w:rPr>
      <w:color w:val="auto"/>
    </w:rPr>
  </w:style>
  <w:style w:type="character" w:styleId="WW8Num74z0">
    <w:name w:val="WW8Num74z0"/>
    <w:qFormat/>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9z0">
    <w:name w:val="WW8Num79z0"/>
    <w:qFormat/>
    <w:rPr>
      <w:rFonts w:ascii="Symbol" w:hAnsi="Symbol" w:cs="Symbol"/>
    </w:rPr>
  </w:style>
  <w:style w:type="character" w:styleId="WW8Num81z0">
    <w:name w:val="WW8Num81z0"/>
    <w:qFormat/>
    <w:rPr>
      <w:rFonts w:ascii="Symbol" w:hAnsi="Symbol" w:cs="Symbol"/>
    </w:rPr>
  </w:style>
  <w:style w:type="character" w:styleId="WW8Num83z0">
    <w:name w:val="WW8Num83z0"/>
    <w:qFormat/>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style>
  <w:style w:type="character" w:styleId="WW8Num94z0">
    <w:name w:val="WW8Num94z0"/>
    <w:qFormat/>
    <w:rPr/>
  </w:style>
  <w:style w:type="character" w:styleId="WW8Num95z0">
    <w:name w:val="WW8Num95z0"/>
    <w:qFormat/>
    <w:rPr>
      <w:rFonts w:ascii="Symbol" w:hAnsi="Symbol" w:cs="Symbol"/>
    </w:rPr>
  </w:style>
  <w:style w:type="character" w:styleId="WW8Num99z0">
    <w:name w:val="WW8Num99z0"/>
    <w:qFormat/>
    <w:rPr>
      <w:rFonts w:ascii="Symbol" w:hAnsi="Symbol" w:cs="Symbol"/>
    </w:rPr>
  </w:style>
  <w:style w:type="character" w:styleId="WW8Num102z0">
    <w:name w:val="WW8Num102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style>
  <w:style w:type="character" w:styleId="WW8Num121z0">
    <w:name w:val="WW8Num121z0"/>
    <w:qFormat/>
    <w:rPr>
      <w:rFonts w:ascii="Symbol" w:hAnsi="Symbol" w:cs="Symbol"/>
    </w:rPr>
  </w:style>
  <w:style w:type="character" w:styleId="WW8Num123z0">
    <w:name w:val="WW8Num123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style>
  <w:style w:type="character" w:styleId="WW8Num129z0">
    <w:name w:val="WW8Num129z0"/>
    <w:qFormat/>
    <w:rPr>
      <w:rFonts w:ascii="Symbol" w:hAnsi="Symbol" w:cs="Symbol"/>
    </w:rPr>
  </w:style>
  <w:style w:type="character" w:styleId="WW8Num136z0">
    <w:name w:val="WW8Num136z0"/>
    <w:qFormat/>
    <w:rPr/>
  </w:style>
  <w:style w:type="character" w:styleId="WW8Num137z0">
    <w:name w:val="WW8Num137z0"/>
    <w:qFormat/>
    <w:rPr/>
  </w:style>
  <w:style w:type="character" w:styleId="WW8Num141z0">
    <w:name w:val="WW8Num141z0"/>
    <w:qFormat/>
    <w:rPr/>
  </w:style>
  <w:style w:type="character" w:styleId="WW8Num142z0">
    <w:name w:val="WW8Num142z0"/>
    <w:qFormat/>
    <w:rPr>
      <w:rFonts w:ascii="Symbol" w:hAnsi="Symbol" w:cs="Symbol"/>
    </w:rPr>
  </w:style>
  <w:style w:type="character" w:styleId="WW8Num144z0">
    <w:name w:val="WW8Num14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spacing w:before="240" w:after="480"/>
      <w:outlineLvl w:val="0"/>
    </w:pPr>
    <w:rPr>
      <w:rFonts w:ascii="Swis721 Md BT;Arial" w:hAnsi="Swis721 Md BT;Arial" w:cs="Swis721 Md BT;Arial"/>
      <w:b/>
      <w:kern w:val="2"/>
      <w:sz w:val="72"/>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8270" w:leader="dot"/>
      </w:tabs>
    </w:pPr>
    <w:rPr>
      <w:rFonts w:ascii="Swis721 Md BT;Arial" w:hAnsi="Swis721 Md BT;Arial" w:cs="Swis721 Md BT;Arial"/>
      <w:lang w:val="en-CA" w:eastAsia="en-CA"/>
    </w:rPr>
  </w:style>
  <w:style w:type="paragraph" w:styleId="TOC2">
    <w:name w:val="toc 2"/>
    <w:basedOn w:val="Normal"/>
    <w:next w:val="Normal"/>
    <w:pPr>
      <w:tabs>
        <w:tab w:val="clear" w:pos="720"/>
        <w:tab w:val="right" w:pos="8270" w:leader="dot"/>
      </w:tabs>
      <w:ind w:hanging="0" w:start="200" w:end="0"/>
    </w:pPr>
    <w:rPr>
      <w:rFonts w:ascii="Swis721 BT;Arial" w:hAnsi="Swis721 BT;Arial" w:cs="Swis721 BT;Arial"/>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16"/>
    </w:rPr>
  </w:style>
  <w:style w:type="paragraph" w:styleId="BodyTextIndent">
    <w:name w:val="Body Text Indent"/>
    <w:basedOn w:val="Normal"/>
    <w:pPr>
      <w:ind w:hanging="0" w:start="720" w:end="0"/>
    </w:pPr>
    <w:rPr/>
  </w:style>
  <w:style w:type="paragraph" w:styleId="Footer">
    <w:name w:val="footer"/>
    <w:basedOn w:val="Normal"/>
    <w:pPr>
      <w:pBdr>
        <w:top w:val="single" w:sz="4" w:space="1" w:color="000000"/>
      </w:pBdr>
      <w:tabs>
        <w:tab w:val="clear" w:pos="720"/>
        <w:tab w:val="center" w:pos="4320" w:leader="none"/>
        <w:tab w:val="right" w:pos="8640" w:leader="none"/>
      </w:tabs>
    </w:pPr>
    <w:rPr>
      <w:sz w:val="16"/>
      <w:lang w:val="en-CA" w:eastAsia="en-CA"/>
    </w:rPr>
  </w:style>
  <w:style w:type="paragraph" w:styleId="Subtitle">
    <w:name w:val="Subtitle"/>
    <w:basedOn w:val="Normal"/>
    <w:next w:val="BodyText"/>
    <w:qFormat/>
    <w:pPr>
      <w:spacing w:before="120" w:after="120"/>
    </w:pPr>
    <w:rPr>
      <w:rFonts w:ascii="Swis721 Md BT;Arial" w:hAnsi="Swis721 Md BT;Arial" w:cs="Swis721 Md BT;Arial"/>
      <w:b/>
      <w:sz w:val="28"/>
    </w:rPr>
  </w:style>
  <w:style w:type="paragraph" w:styleId="TOC3">
    <w:name w:val="toc 3"/>
    <w:basedOn w:val="Normal"/>
    <w:next w:val="Normal"/>
    <w:pPr>
      <w:ind w:hanging="0" w:start="480" w:end="0"/>
    </w:pPr>
    <w:rPr/>
  </w:style>
  <w:style w:type="paragraph" w:styleId="BodyText2">
    <w:name w:val="Body Text 2"/>
    <w:basedOn w:val="Normal"/>
    <w:qFormat/>
    <w:pPr>
      <w:pBdr>
        <w:top w:val="single" w:sz="4" w:space="1" w:color="000000"/>
        <w:bottom w:val="single" w:sz="4" w:space="1" w:color="000000"/>
      </w:pBdr>
    </w:pPr>
    <w:rPr>
      <w:rFonts w:ascii="Swis721 Cn BT;Arial Narrow" w:hAnsi="Swis721 Cn BT;Arial Narrow" w:cs="Swis721 Cn BT;Arial Narrow"/>
      <w:b/>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0" w:start="1080" w:end="0"/>
    </w:pPr>
    <w:rPr/>
  </w:style>
  <w:style w:type="paragraph" w:styleId="Bullet-1">
    <w:name w:val="Bullet-1"/>
    <w:basedOn w:val="Normal"/>
    <w:qFormat/>
    <w:pPr>
      <w:numPr>
        <w:ilvl w:val="0"/>
        <w:numId w:val="3"/>
      </w:numPr>
      <w:spacing w:lineRule="exact" w:line="260" w:before="60" w:after="60"/>
    </w:pPr>
    <w:rPr/>
  </w:style>
  <w:style w:type="paragraph" w:styleId="ListBullet">
    <w:name w:val="List Bullet"/>
    <w:basedOn w:val="Normal"/>
    <w:pPr>
      <w:spacing w:before="60" w:after="240"/>
    </w:pPr>
    <w:rPr/>
  </w:style>
  <w:style w:type="paragraph" w:styleId="Bullet-2">
    <w:name w:val="Bullet-2"/>
    <w:basedOn w:val="Normal"/>
    <w:qFormat/>
    <w:pPr>
      <w:numPr>
        <w:ilvl w:val="0"/>
        <w:numId w:val="9"/>
      </w:numPr>
      <w:spacing w:lineRule="exact" w:line="260" w:before="60" w:after="60"/>
    </w:pPr>
    <w:rPr/>
  </w:style>
  <w:style w:type="paragraph" w:styleId="P-Question-A">
    <w:name w:val="P-Question-A"/>
    <w:basedOn w:val="Normal"/>
    <w:qFormat/>
    <w:pPr>
      <w:keepLines w:val="false"/>
      <w:spacing w:lineRule="atLeast" w:line="320"/>
      <w:ind w:hanging="540" w:start="540" w:end="0"/>
    </w:pPr>
    <w:rPr/>
  </w:style>
  <w:style w:type="paragraph" w:styleId="SwissIndent">
    <w:name w:val="Swiss Indent"/>
    <w:basedOn w:val="Normal"/>
    <w:qFormat/>
    <w:pPr>
      <w:spacing w:before="60" w:after="60"/>
      <w:ind w:hanging="0" w:start="360" w:end="0"/>
    </w:pPr>
    <w:rPr>
      <w:rFonts w:ascii="Swis721 BT;Arial" w:hAnsi="Swis721 BT;Arial" w:cs="Swis721 BT;Arial"/>
      <w:sz w:val="22"/>
    </w:rPr>
  </w:style>
  <w:style w:type="paragraph" w:styleId="SwissExample">
    <w:name w:val="Swiss Example"/>
    <w:basedOn w:val="Normal"/>
    <w:qFormat/>
    <w:pPr>
      <w:spacing w:before="60" w:after="60"/>
      <w:ind w:hanging="0" w:start="1267" w:end="0"/>
    </w:pPr>
    <w:rPr>
      <w:rFonts w:ascii="Swis721 BT;Arial" w:hAnsi="Swis721 BT;Arial" w:cs="Swis721 BT;Arial"/>
      <w:sz w:val="22"/>
    </w:rPr>
  </w:style>
  <w:style w:type="paragraph" w:styleId="Lists">
    <w:name w:val="List #s"/>
    <w:basedOn w:val="Normal"/>
    <w:qFormat/>
    <w:pPr>
      <w:numPr>
        <w:ilvl w:val="0"/>
        <w:numId w:val="8"/>
      </w:numPr>
      <w:tabs>
        <w:tab w:val="clear" w:pos="720"/>
        <w:tab w:val="left" w:pos="540" w:leader="none"/>
      </w:tabs>
      <w:spacing w:before="60" w:after="60"/>
      <w:ind w:hanging="0" w:start="547" w:end="0"/>
    </w:pPr>
    <w:rPr/>
  </w:style>
  <w:style w:type="paragraph" w:styleId="ExampleText">
    <w:name w:val="Example Text"/>
    <w:basedOn w:val="Normal"/>
    <w:qFormat/>
    <w:pPr>
      <w:ind w:hanging="0" w:start="907" w:end="0"/>
    </w:pPr>
    <w:rPr/>
  </w:style>
  <w:style w:type="paragraph" w:styleId="EndnoteText">
    <w:name w:val="endnote text"/>
    <w:basedOn w:val="Normal"/>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PARADIGM.DOT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2001-04-17T12:36:00Z</dcterms:created>
  <dc:creator>Paradigm Associates Group</dc:creator>
  <dc:description/>
  <dc:language>en-CA</dc:language>
  <cp:lastModifiedBy>gpresas</cp:lastModifiedBy>
  <cp:lastPrinted>1999-04-22T14:59:00Z</cp:lastPrinted>
  <dcterms:modified xsi:type="dcterms:W3CDTF">2001-04-17T12:36:00Z</dcterms:modified>
  <cp:revision>2</cp:revision>
  <dc:subject/>
  <dc:title>Title</dc:title>
</cp:coreProperties>
</file>