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REVIEW OF </w:t>
      </w:r>
    </w:p>
    <w:p>
      <w:pPr>
        <w:pStyle w:val="Normal"/>
        <w:jc w:val="center"/>
        <w:rPr>
          <w:b/>
        </w:rPr>
      </w:pPr>
      <w:r>
        <w:rPr>
          <w:b/>
        </w:rPr>
        <w:t>PROPOSED DECISIONS IN RATE STABILIZATION PROCEEDING</w:t>
      </w:r>
    </w:p>
    <w:p>
      <w:pPr>
        <w:pStyle w:val="Normal"/>
        <w:jc w:val="center"/>
        <w:rPr/>
      </w:pPr>
      <w:r>
        <w:rPr/>
        <w:t>Mike Jaske    May 10, 2001</w:t>
      </w:r>
    </w:p>
    <w:p>
      <w:pPr>
        <w:pStyle w:val="Normal"/>
        <w:rPr/>
      </w:pPr>
      <w:r>
        <w:rPr/>
      </w:r>
    </w:p>
    <w:p>
      <w:pPr>
        <w:pStyle w:val="Normal"/>
        <w:rPr/>
      </w:pPr>
      <w:r>
        <w:rPr/>
        <w:t>On May 9, 2001, ALJ Walwyn issued a Proposed Decision (PD) in the PG&amp;E and SCE rate stabilization proceeding.  CPUC President Lynch issued an Alternate Decision (AD).  This review focuses on the elements of the two proposed decisions with respect to the specific RTP proposal made by the CEC and the more general endorsement of mandatory RTP by Borenstein and Bradford, appearing as expert witnesses sponsored by the Energy Division.</w:t>
      </w:r>
    </w:p>
    <w:p>
      <w:pPr>
        <w:pStyle w:val="Normal"/>
        <w:rPr/>
      </w:pPr>
      <w:r>
        <w:rPr/>
      </w:r>
    </w:p>
    <w:p>
      <w:pPr>
        <w:pStyle w:val="Heading1"/>
        <w:ind w:hanging="0" w:start="0"/>
        <w:rPr/>
      </w:pPr>
      <w:r>
        <w:rPr/>
        <w:t>A. ALJ Walwyn Proposed Decision</w:t>
      </w:r>
    </w:p>
    <w:p>
      <w:pPr>
        <w:pStyle w:val="Normal"/>
        <w:rPr/>
      </w:pPr>
      <w:r>
        <w:rPr/>
      </w:r>
    </w:p>
    <w:p>
      <w:pPr>
        <w:pStyle w:val="Normal"/>
        <w:rPr>
          <w:u w:val="single"/>
        </w:rPr>
      </w:pPr>
      <w:r>
        <w:rPr>
          <w:u w:val="single"/>
        </w:rPr>
        <w:t>1. Summary</w:t>
      </w:r>
    </w:p>
    <w:p>
      <w:pPr>
        <w:pStyle w:val="Normal"/>
        <w:rPr>
          <w:u w:val="single"/>
        </w:rPr>
      </w:pPr>
      <w:r>
        <w:rPr>
          <w:u w:val="single"/>
        </w:rPr>
      </w:r>
    </w:p>
    <w:p>
      <w:pPr>
        <w:pStyle w:val="Normal"/>
        <w:rPr/>
      </w:pPr>
      <w:r>
        <w:rPr/>
        <w:t>ALJ Walwyn seems to have largely accepted the concept of a voluntary RTP program. There is no endorsement of the specific Georgia Power two-part tariff approach as endorsed by the CEC in its April 13, 2001 testimony.  Other noticeable differences are that the next step is a workshop to be conducted May 21 by the Energy Division, and an apparent delay of adoption of an actual RTP tariff resulting from the workshop (and implicitly some procedural advocacy steps) until early July.  The CEC had proposed an explicit expedited phase of the proceeding and immediate adoption once developed. There may be some slight inconsistency between the text on p. 56 that says the RTP supplement will be available to the customer when the meter is installed and FoF #92 (p.  69) that suggests rate design decisions in early July.</w:t>
      </w:r>
    </w:p>
    <w:p>
      <w:pPr>
        <w:pStyle w:val="Normal"/>
        <w:rPr/>
      </w:pPr>
      <w:r>
        <w:rPr/>
      </w:r>
    </w:p>
    <w:p>
      <w:pPr>
        <w:pStyle w:val="Normal"/>
        <w:rPr/>
      </w:pPr>
      <w:r>
        <w:rPr/>
        <w:t>CPUC Staff are directed to work with and support efforts to get voluntary RTP programs in place quickly.</w:t>
      </w:r>
    </w:p>
    <w:p>
      <w:pPr>
        <w:pStyle w:val="Normal"/>
        <w:rPr/>
      </w:pPr>
      <w:r>
        <w:rPr/>
      </w:r>
    </w:p>
    <w:p>
      <w:pPr>
        <w:pStyle w:val="Normal"/>
        <w:rPr>
          <w:u w:val="single"/>
        </w:rPr>
      </w:pPr>
      <w:r>
        <w:rPr>
          <w:u w:val="single"/>
        </w:rPr>
        <w:t>2. Specific Citations</w:t>
      </w:r>
    </w:p>
    <w:p>
      <w:pPr>
        <w:pStyle w:val="Normal"/>
        <w:rPr>
          <w:u w:val="single"/>
        </w:rPr>
      </w:pPr>
      <w:r>
        <w:rPr>
          <w:u w:val="single"/>
        </w:rPr>
      </w:r>
    </w:p>
    <w:p>
      <w:pPr>
        <w:pStyle w:val="Normal"/>
        <w:rPr/>
      </w:pPr>
      <w:r>
        <w:rPr/>
        <w:t>All customers &gt; 200 kW (both ag and non-ag) will be shifted to TOU rates when they receive their RTP metering system, and thus they will be able to participate in an RTP pricing program. (p. 42 and 44-45)</w:t>
      </w:r>
    </w:p>
    <w:p>
      <w:pPr>
        <w:pStyle w:val="Normal"/>
        <w:rPr/>
      </w:pPr>
      <w:r>
        <w:rPr/>
      </w:r>
    </w:p>
    <w:p>
      <w:pPr>
        <w:pStyle w:val="Normal"/>
        <w:rPr/>
      </w:pPr>
      <w:r>
        <w:rPr/>
        <w:t>Utilities should post the day-ahead ISO price for electricity daily. (p. 48)</w:t>
      </w:r>
    </w:p>
    <w:p>
      <w:pPr>
        <w:pStyle w:val="Normal"/>
        <w:rPr/>
      </w:pPr>
      <w:r>
        <w:rPr/>
      </w:r>
    </w:p>
    <w:p>
      <w:pPr>
        <w:pStyle w:val="Normal"/>
        <w:rPr/>
      </w:pPr>
      <w:r>
        <w:rPr/>
        <w:t>CPUC intends to develop a detailed real time price rate structure. (p. 49)</w:t>
      </w:r>
    </w:p>
    <w:p>
      <w:pPr>
        <w:pStyle w:val="Normal"/>
        <w:rPr/>
      </w:pPr>
      <w:r>
        <w:rPr/>
      </w:r>
    </w:p>
    <w:p>
      <w:pPr>
        <w:pStyle w:val="Normal"/>
        <w:rPr/>
      </w:pPr>
      <w:r>
        <w:rPr/>
        <w:t>We will proceed expeditiously to develop and adopt a voluntary RTP that will be available to customers when their interval meters are installed. (p. 56)</w:t>
      </w:r>
    </w:p>
    <w:p>
      <w:pPr>
        <w:pStyle w:val="Normal"/>
        <w:rPr/>
      </w:pPr>
      <w:r>
        <w:rPr/>
      </w:r>
    </w:p>
    <w:p>
      <w:pPr>
        <w:pStyle w:val="Normal"/>
        <w:rPr/>
      </w:pPr>
      <w:r>
        <w:rPr/>
        <w:t>CPUC intends to closely monitor CEC’s progress in AB29x RTP meter deplyment and commits to providing any necessary assistance.  CEC says it is working with UDCs and ISO to meet the price information requirement, the CPUC directs its staff to cooperate and assist these efforts.  (p. 50)</w:t>
      </w:r>
    </w:p>
    <w:p>
      <w:pPr>
        <w:pStyle w:val="Normal"/>
        <w:rPr/>
      </w:pPr>
      <w:r>
        <w:rPr/>
      </w:r>
    </w:p>
    <w:p>
      <w:pPr>
        <w:pStyle w:val="Normal"/>
        <w:rPr/>
      </w:pPr>
      <w:r>
        <w:rPr/>
        <w:t>Energy Division is directly to work with PG&amp;E and SCE on billing system constraints and manual billing procedures that can be used under billing system changes are complete. (p. 56)</w:t>
      </w:r>
    </w:p>
    <w:p>
      <w:pPr>
        <w:pStyle w:val="Normal"/>
        <w:rPr/>
      </w:pPr>
      <w:r>
        <w:rPr/>
      </w:r>
    </w:p>
    <w:p>
      <w:pPr>
        <w:pStyle w:val="Normal"/>
        <w:rPr/>
      </w:pPr>
      <w:r>
        <w:rPr/>
        <w:t>The CEC should have funds available under AB1x 29 to address the extensive customer education needed to gain acceptance of real time pricing programs. (p. 55)</w:t>
      </w:r>
    </w:p>
    <w:p>
      <w:pPr>
        <w:pStyle w:val="Normal"/>
        <w:rPr/>
      </w:pPr>
      <w:r>
        <w:rPr/>
      </w:r>
    </w:p>
    <w:p>
      <w:pPr>
        <w:pStyle w:val="Normal"/>
        <w:rPr/>
      </w:pPr>
      <w:r>
        <w:rPr/>
        <w:t>Our RTP process will begin with a workshop facilitated by Energy division on May 21 and CPUC expects to adopt a final program later this summer. (p. 56)</w:t>
      </w:r>
    </w:p>
    <w:p>
      <w:pPr>
        <w:pStyle w:val="Normal"/>
        <w:rPr/>
      </w:pPr>
      <w:r>
        <w:rPr/>
      </w:r>
    </w:p>
    <w:p>
      <w:pPr>
        <w:pStyle w:val="Normal"/>
        <w:rPr/>
      </w:pPr>
      <w:r>
        <w:rPr/>
        <w:t>FoF #91 – We will develop and adopt a voluntary RTP program that will be available to customers when their interval meter is installed. (p. 69)</w:t>
      </w:r>
    </w:p>
    <w:p>
      <w:pPr>
        <w:pStyle w:val="Normal"/>
        <w:rPr/>
      </w:pPr>
      <w:r>
        <w:rPr/>
      </w:r>
    </w:p>
    <w:p>
      <w:pPr>
        <w:pStyle w:val="Normal"/>
        <w:rPr/>
      </w:pPr>
      <w:r>
        <w:rPr/>
        <w:t>FoF #92 – We intend to refine our approach to rate design in early July. (p. 69)</w:t>
      </w:r>
    </w:p>
    <w:p>
      <w:pPr>
        <w:pStyle w:val="Normal"/>
        <w:rPr/>
      </w:pPr>
      <w:r>
        <w:rPr/>
      </w:r>
    </w:p>
    <w:p>
      <w:pPr>
        <w:pStyle w:val="Normal"/>
        <w:rPr/>
      </w:pPr>
      <w:r>
        <w:rPr/>
        <w:t>A comprehensive review of PG&amp;E’s and SCE’s rate schedules and rate designs are needed and should be undertaken in early 2002. (p. 57)</w:t>
      </w:r>
    </w:p>
    <w:p>
      <w:pPr>
        <w:pStyle w:val="Normal"/>
        <w:rPr/>
      </w:pPr>
      <w:r>
        <w:rPr/>
      </w:r>
    </w:p>
    <w:p>
      <w:pPr>
        <w:pStyle w:val="Normal"/>
        <w:rPr/>
      </w:pPr>
      <w:r>
        <w:rPr/>
      </w:r>
    </w:p>
    <w:p>
      <w:pPr>
        <w:pStyle w:val="Heading1"/>
        <w:ind w:hanging="0" w:start="0"/>
        <w:rPr/>
      </w:pPr>
      <w:r>
        <w:rPr/>
        <w:t>B. President Lynch Alternate Decision</w:t>
      </w:r>
    </w:p>
    <w:p>
      <w:pPr>
        <w:pStyle w:val="Normal"/>
        <w:rPr/>
      </w:pPr>
      <w:r>
        <w:rPr/>
      </w:r>
    </w:p>
    <w:p>
      <w:pPr>
        <w:pStyle w:val="Normal"/>
        <w:rPr/>
      </w:pPr>
      <w:r>
        <w:rPr/>
        <w:t>1. Summary</w:t>
      </w:r>
    </w:p>
    <w:p>
      <w:pPr>
        <w:pStyle w:val="Normal"/>
        <w:rPr/>
      </w:pPr>
      <w:r>
        <w:rPr/>
      </w:r>
    </w:p>
    <w:p>
      <w:pPr>
        <w:pStyle w:val="Normal"/>
        <w:rPr/>
      </w:pPr>
      <w:r>
        <w:rPr/>
        <w:t xml:space="preserve">In most respects concerning RTP, the AD matches the PD of ALJ Walwyn.  There are some apparent differences that are supported by the citations listed below.  </w:t>
      </w:r>
    </w:p>
    <w:p>
      <w:pPr>
        <w:pStyle w:val="Normal"/>
        <w:rPr/>
      </w:pPr>
      <w:r>
        <w:rPr/>
      </w:r>
    </w:p>
    <w:p>
      <w:pPr>
        <w:pStyle w:val="Normal"/>
        <w:rPr/>
      </w:pPr>
      <w:r>
        <w:rPr/>
        <w:t>The most important is that the AD raises the issue of whether during the rate freeze customers may be “forced” to shift to a TOU rate schedule when they receive an RTP meter through the CEC’s AB29x program.  Lynch “solves” this problem by suggesting the end-users can choose whether or not to obtain the RTP meter.  This is quite different than the plain language in AB29x that seemingly directs the CEC to see to it that RTP meters are installed for all end-users &gt;200 kW.  An alternative is to install the RTP meter, but allow the end-user to stay on their current tariff until the AB 1890 rate freeze is ended.</w:t>
      </w:r>
    </w:p>
    <w:p>
      <w:pPr>
        <w:pStyle w:val="Normal"/>
        <w:rPr/>
      </w:pPr>
      <w:r>
        <w:rPr/>
      </w:r>
    </w:p>
    <w:p>
      <w:pPr>
        <w:pStyle w:val="Normal"/>
        <w:rPr/>
      </w:pPr>
      <w:r>
        <w:rPr/>
        <w:t>A secondary issue is the requirement that federal facilities with RTP metering be required to have RTP rates.  The contrast between Lynch’s ideas about the requirements of AB 1890 not allowing coercive decisions in general, but requiring coercive shifts to RTP rates for federal facilities, will undoubtedly be pointed out by federal facilities representatives.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2. Specific Citations</w:t>
      </w:r>
    </w:p>
    <w:p>
      <w:pPr>
        <w:pStyle w:val="Normal"/>
        <w:rPr/>
      </w:pPr>
      <w:r>
        <w:rPr/>
      </w:r>
    </w:p>
    <w:p>
      <w:pPr>
        <w:pStyle w:val="Normal"/>
        <w:rPr/>
      </w:pPr>
      <w:r>
        <w:rPr/>
        <w:t>The CPUC is proposing a real time pricing pilot program and is encouraging large commercial customers to migrate to energy (sic) meters to better control electrical use at times of greatest price or demand…(p. 5)</w:t>
      </w:r>
    </w:p>
    <w:p>
      <w:pPr>
        <w:pStyle w:val="Normal"/>
        <w:rPr/>
      </w:pPr>
      <w:r>
        <w:rPr/>
      </w:r>
    </w:p>
    <w:p>
      <w:pPr>
        <w:pStyle w:val="Normal"/>
        <w:rPr/>
      </w:pPr>
      <w:r>
        <w:rPr/>
        <w:t>We will monitor the status of the CEC metering efforts and refine further the metering concepts discussed in briefs and at hearings into concrete implementation proposals.  (p. 20)</w:t>
      </w:r>
    </w:p>
    <w:p>
      <w:pPr>
        <w:pStyle w:val="Normal"/>
        <w:rPr/>
      </w:pPr>
      <w:r>
        <w:rPr/>
      </w:r>
    </w:p>
    <w:p>
      <w:pPr>
        <w:pStyle w:val="Normal"/>
        <w:rPr/>
      </w:pPr>
      <w:r>
        <w:rPr/>
        <w:t>We find customers who take advantage of the metering programs offered by the CEC should be able to do so only if they also agree to shift to TOU rates.  The CPUC will work with the CEC to ensure metering programs and utility rate schedules are complementary.  (p. 20)</w:t>
      </w:r>
    </w:p>
    <w:p>
      <w:pPr>
        <w:pStyle w:val="Normal"/>
        <w:rPr/>
      </w:pPr>
      <w:r>
        <w:rPr/>
      </w:r>
    </w:p>
    <w:p>
      <w:pPr>
        <w:pStyle w:val="Normal"/>
        <w:rPr/>
      </w:pPr>
      <w:r>
        <w:rPr/>
        <w:t>We direct utilities to propose ways in which federal facilities with real time meters are charged real time prices. (p. 28)</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2001-05-10T14:12:00Z</dcterms:created>
  <dc:creator>CA Energy Commission</dc:creator>
  <dc:description/>
  <dc:language>en-CA</dc:language>
  <cp:lastModifiedBy>CA Energy Commission</cp:lastModifiedBy>
  <cp:lastPrinted>2001-05-10T09:42:00Z</cp:lastPrinted>
  <dcterms:modified xsi:type="dcterms:W3CDTF">2001-05-10T14:20:00Z</dcterms:modified>
  <cp:revision>3</cp:revision>
  <dc:subject/>
  <dc:title>Walwyn</dc:title>
</cp:coreProperties>
</file>