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sto MT" w:hAnsi="Calisto MT" w:cs="Calisto MT"/>
          <w:sz w:val="22"/>
        </w:rPr>
      </w:pPr>
      <w:r>
        <w:rPr>
          <w:rFonts w:cs="Calisto MT" w:ascii="Calisto MT" w:hAnsi="Calisto MT"/>
          <w:sz w:val="22"/>
        </w:rPr>
        <w:t>March 21, 2001</w:t>
      </w:r>
      <w:r>
        <mc:AlternateContent>
          <mc:Choice Requires="wps">
            <w:drawing>
              <wp:anchor behindDoc="0" distT="0" distB="0" distL="114935" distR="114935" simplePos="0" locked="0" layoutInCell="1" allowOverlap="1" relativeHeight="8">
                <wp:simplePos x="0" y="0"/>
                <wp:positionH relativeFrom="column">
                  <wp:posOffset>3200400</wp:posOffset>
                </wp:positionH>
                <wp:positionV relativeFrom="paragraph">
                  <wp:posOffset>-400685</wp:posOffset>
                </wp:positionV>
                <wp:extent cx="2628900" cy="685800"/>
                <wp:effectExtent l="0" t="0" r="0" b="0"/>
                <wp:wrapNone/>
                <wp:docPr id="1" name="Frame1"/>
                <a:graphic xmlns:a="http://schemas.openxmlformats.org/drawingml/2006/main">
                  <a:graphicData uri="http://schemas.microsoft.com/office/word/2010/wordprocessingShape">
                    <wps:wsp>
                      <wps:cNvSpPr txBox="1"/>
                      <wps:spPr>
                        <a:xfrm>
                          <a:off x="0" y="0"/>
                          <a:ext cx="2628900" cy="685800"/>
                        </a:xfrm>
                        <a:prstGeom prst="rect"/>
                        <a:solidFill>
                          <a:srgbClr val="FFFFFF">
                            <a:alpha val="0"/>
                          </a:srgbClr>
                        </a:solidFill>
                      </wps:spPr>
                      <wps:txbx>
                        <w:txbxContent>
                          <w:p>
                            <w:pPr>
                              <w:pStyle w:val="Heading2"/>
                              <w:spacing w:before="0" w:after="240"/>
                              <w:ind w:hanging="0" w:start="0"/>
                              <w:rPr/>
                            </w:pPr>
                            <w:r>
                              <w:rPr/>
                            </w:r>
                          </w:p>
                        </w:txbxContent>
                      </wps:txbx>
                      <wps:bodyPr anchor="t" lIns="92075" tIns="46355" rIns="92075" bIns="46355">
                        <a:noAutofit/>
                      </wps:bodyPr>
                    </wps:wsp>
                  </a:graphicData>
                </a:graphic>
              </wp:anchor>
            </w:drawing>
          </mc:Choice>
          <mc:Fallback>
            <w:pict>
              <v:rect fillcolor="#FFFFFF" style="position:absolute;rotation:-0;width:207pt;height:54pt;mso-wrap-distance-left:9.05pt;mso-wrap-distance-right:9.05pt;mso-wrap-distance-top:0pt;mso-wrap-distance-bottom:0pt;margin-top:-31.55pt;mso-position-vertical-relative:text;margin-left:252pt;mso-position-horizontal-relative:text">
                <v:fill opacity="0f"/>
                <v:textbox inset="0.100694444444444in,0.0506944444444444in,0.100694444444444in,0.0506944444444444in">
                  <w:txbxContent>
                    <w:p>
                      <w:pPr>
                        <w:pStyle w:val="Heading2"/>
                        <w:spacing w:before="0" w:after="240"/>
                        <w:ind w:hanging="0" w:start="0"/>
                        <w:rPr/>
                      </w:pPr>
                      <w:r>
                        <w:rPr/>
                      </w:r>
                    </w:p>
                  </w:txbxContent>
                </v:textbox>
                <w10:wrap type="none"/>
              </v:rect>
            </w:pict>
          </mc:Fallback>
        </mc:AlternateContent>
      </w:r>
    </w:p>
    <w:p>
      <w:pPr>
        <w:pStyle w:val="Normal"/>
        <w:rPr>
          <w:rFonts w:ascii="Calisto MT" w:hAnsi="Calisto MT" w:cs="Calisto MT"/>
          <w:sz w:val="22"/>
        </w:rPr>
      </w:pPr>
      <w:r>
        <w:rPr>
          <w:rFonts w:cs="Calisto MT" w:ascii="Calisto MT" w:hAnsi="Calisto MT"/>
          <w:sz w:val="22"/>
        </w:rPr>
      </w:r>
    </w:p>
    <w:p>
      <w:pPr>
        <w:pStyle w:val="Header"/>
        <w:tabs>
          <w:tab w:val="clear" w:pos="4320"/>
          <w:tab w:val="clear" w:pos="8640"/>
        </w:tabs>
        <w:rPr>
          <w:rFonts w:ascii="Calisto MT" w:hAnsi="Calisto MT" w:cs="Calisto MT"/>
          <w:sz w:val="22"/>
        </w:rPr>
      </w:pPr>
      <w:r>
        <w:rPr>
          <w:rFonts w:cs="Calisto MT" w:ascii="Calisto MT" w:hAnsi="Calisto MT"/>
          <w:sz w:val="22"/>
        </w:rPr>
        <w:t>[Name]</w:t>
      </w:r>
    </w:p>
    <w:p>
      <w:pPr>
        <w:pStyle w:val="Header"/>
        <w:tabs>
          <w:tab w:val="clear" w:pos="4320"/>
          <w:tab w:val="clear" w:pos="8640"/>
        </w:tabs>
        <w:rPr>
          <w:rFonts w:ascii="Calisto MT" w:hAnsi="Calisto MT" w:cs="Calisto MT"/>
          <w:sz w:val="22"/>
        </w:rPr>
      </w:pPr>
      <w:r>
        <w:rPr>
          <w:rFonts w:cs="Calisto MT" w:ascii="Calisto MT" w:hAnsi="Calisto MT"/>
          <w:sz w:val="22"/>
        </w:rPr>
        <w:t>[Title]</w:t>
      </w:r>
    </w:p>
    <w:p>
      <w:pPr>
        <w:pStyle w:val="Header"/>
        <w:tabs>
          <w:tab w:val="clear" w:pos="4320"/>
          <w:tab w:val="clear" w:pos="8640"/>
        </w:tabs>
        <w:rPr>
          <w:rFonts w:ascii="Calisto MT" w:hAnsi="Calisto MT" w:cs="Calisto MT"/>
          <w:sz w:val="22"/>
        </w:rPr>
      </w:pPr>
      <w:r>
        <w:rPr>
          <w:rFonts w:cs="Calisto MT" w:ascii="Calisto MT" w:hAnsi="Calisto MT"/>
          <w:sz w:val="22"/>
        </w:rPr>
        <w:t>[Company Name]</w:t>
      </w:r>
    </w:p>
    <w:p>
      <w:pPr>
        <w:pStyle w:val="Header"/>
        <w:tabs>
          <w:tab w:val="clear" w:pos="4320"/>
          <w:tab w:val="clear" w:pos="8640"/>
        </w:tabs>
        <w:rPr>
          <w:rFonts w:ascii="Calisto MT" w:hAnsi="Calisto MT" w:cs="Calisto MT"/>
          <w:sz w:val="22"/>
        </w:rPr>
      </w:pPr>
      <w:r>
        <w:rPr>
          <w:rFonts w:cs="Calisto MT" w:ascii="Calisto MT" w:hAnsi="Calisto MT"/>
          <w:sz w:val="22"/>
        </w:rPr>
        <w:t>[Street Address]</w:t>
      </w:r>
    </w:p>
    <w:p>
      <w:pPr>
        <w:pStyle w:val="Header"/>
        <w:tabs>
          <w:tab w:val="clear" w:pos="4320"/>
          <w:tab w:val="clear" w:pos="8640"/>
        </w:tabs>
        <w:rPr>
          <w:rFonts w:ascii="Calisto MT" w:hAnsi="Calisto MT" w:cs="Calisto MT"/>
          <w:sz w:val="22"/>
        </w:rPr>
      </w:pPr>
      <w:r>
        <w:rPr>
          <w:rFonts w:cs="Calisto MT" w:ascii="Calisto MT" w:hAnsi="Calisto MT"/>
          <w:sz w:val="22"/>
        </w:rPr>
        <w:t>[City and State]</w:t>
      </w:r>
    </w:p>
    <w:p>
      <w:pPr>
        <w:pStyle w:val="Header"/>
        <w:tabs>
          <w:tab w:val="clear" w:pos="4320"/>
          <w:tab w:val="clear" w:pos="8640"/>
        </w:tabs>
        <w:rPr>
          <w:rFonts w:ascii="Calisto MT" w:hAnsi="Calisto MT" w:cs="Calisto MT"/>
          <w:sz w:val="22"/>
        </w:rPr>
      </w:pPr>
      <w:r>
        <w:rPr>
          <w:rFonts w:cs="Calisto MT" w:ascii="Calisto MT" w:hAnsi="Calisto MT"/>
          <w:sz w:val="22"/>
        </w:rPr>
      </w:r>
    </w:p>
    <w:p>
      <w:pPr>
        <w:pStyle w:val="Header"/>
        <w:tabs>
          <w:tab w:val="clear" w:pos="4320"/>
          <w:tab w:val="clear" w:pos="8640"/>
        </w:tabs>
        <w:jc w:val="center"/>
        <w:rPr>
          <w:rFonts w:ascii="Calisto MT" w:hAnsi="Calisto MT" w:cs="Calisto MT"/>
          <w:b/>
          <w:bCs/>
          <w:sz w:val="22"/>
        </w:rPr>
      </w:pPr>
      <w:r>
        <w:rPr>
          <w:rFonts w:cs="Calisto MT" w:ascii="Calisto MT" w:hAnsi="Calisto MT"/>
          <w:b/>
          <w:bCs/>
          <w:sz w:val="22"/>
        </w:rPr>
        <w:t>RE:  Request for Proposal (“RFP”) to acquire Firm Transportation Service on PGT and TCPL pipelines, and energy conversion services from the 1,300 MW Wallula Power Project</w:t>
      </w:r>
    </w:p>
    <w:p>
      <w:pPr>
        <w:pStyle w:val="Header"/>
        <w:tabs>
          <w:tab w:val="clear" w:pos="4320"/>
          <w:tab w:val="clear" w:pos="8640"/>
        </w:tabs>
        <w:rPr>
          <w:rFonts w:ascii="Calisto MT" w:hAnsi="Calisto MT" w:cs="Calisto MT"/>
          <w:b/>
          <w:bCs/>
          <w:sz w:val="22"/>
        </w:rPr>
      </w:pPr>
      <w:r>
        <w:rPr>
          <w:rFonts w:cs="Calisto MT" w:ascii="Calisto MT" w:hAnsi="Calisto MT"/>
          <w:b/>
          <w:bCs/>
          <w:sz w:val="22"/>
        </w:rPr>
      </w:r>
    </w:p>
    <w:p>
      <w:pPr>
        <w:pStyle w:val="Header"/>
        <w:tabs>
          <w:tab w:val="clear" w:pos="4320"/>
          <w:tab w:val="clear" w:pos="8640"/>
        </w:tabs>
        <w:rPr>
          <w:rFonts w:ascii="Calisto MT" w:hAnsi="Calisto MT" w:cs="Calisto MT"/>
          <w:sz w:val="22"/>
        </w:rPr>
      </w:pPr>
      <w:r>
        <w:rPr>
          <w:rFonts w:cs="Calisto MT" w:ascii="Calisto MT" w:hAnsi="Calisto MT"/>
          <w:sz w:val="22"/>
        </w:rPr>
        <w:t>Dear:</w:t>
      </w:r>
    </w:p>
    <w:p>
      <w:pPr>
        <w:pStyle w:val="Header"/>
        <w:tabs>
          <w:tab w:val="clear" w:pos="4320"/>
          <w:tab w:val="clear" w:pos="8640"/>
        </w:tabs>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sz w:val="22"/>
        </w:rPr>
      </w:pPr>
      <w:r>
        <w:rPr>
          <w:rFonts w:cs="Calisto MT" w:ascii="Calisto MT" w:hAnsi="Calisto MT"/>
          <w:sz w:val="22"/>
        </w:rPr>
        <w:t>Newport Northwest, LLC, (“NNW”), an affiliate of Newport Generation, Inc, has recently secured firm gas transportation capacity on PG&amp;E Gas Transmission (“PGT”) pipeline from Kingsgate to Malin.  In addition, NNW has been awarded firm gas transportation services on TransCanada Pipelines Limited (“TCPL”) pipeline from AECO to Kingsgate.  NNW is also developing the Wallula Power Project, a 1,300 MW gas-fired power plant in the state of Washington with expected commercial operations of October 2004.</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sz w:val="22"/>
        </w:rPr>
      </w:pPr>
      <w:r>
        <w:rPr>
          <w:rFonts w:cs="Calisto MT" w:ascii="Calisto MT" w:hAnsi="Calisto MT"/>
          <w:sz w:val="22"/>
        </w:rPr>
        <w:t>NNW is pleased to invite you to submit proposals for the following::</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numPr>
          <w:ilvl w:val="0"/>
          <w:numId w:val="8"/>
        </w:numPr>
        <w:tabs>
          <w:tab w:val="clear" w:pos="4320"/>
          <w:tab w:val="clear" w:pos="8640"/>
        </w:tabs>
        <w:jc w:val="both"/>
        <w:rPr>
          <w:rFonts w:ascii="Calisto MT" w:hAnsi="Calisto MT" w:cs="Calisto MT"/>
          <w:sz w:val="22"/>
        </w:rPr>
      </w:pPr>
      <w:r>
        <w:rPr>
          <w:rFonts w:cs="Calisto MT" w:ascii="Calisto MT" w:hAnsi="Calisto MT"/>
          <w:sz w:val="22"/>
        </w:rPr>
        <w:t>Management and/or release of firm gas transportation service from AECO to Malin for 2002-2004 (Section 3.1);</w:t>
      </w:r>
    </w:p>
    <w:p>
      <w:pPr>
        <w:pStyle w:val="Header"/>
        <w:numPr>
          <w:ilvl w:val="0"/>
          <w:numId w:val="8"/>
        </w:numPr>
        <w:tabs>
          <w:tab w:val="clear" w:pos="4320"/>
          <w:tab w:val="clear" w:pos="8640"/>
        </w:tabs>
        <w:jc w:val="both"/>
        <w:rPr>
          <w:rFonts w:ascii="Calisto MT" w:hAnsi="Calisto MT" w:cs="Calisto MT"/>
          <w:sz w:val="22"/>
        </w:rPr>
      </w:pPr>
      <w:r>
        <w:rPr>
          <w:rFonts w:cs="Calisto MT" w:ascii="Calisto MT" w:hAnsi="Calisto MT"/>
          <w:sz w:val="22"/>
        </w:rPr>
        <w:t>Management and/or release of firm gas transportation service from AECO to Stanfield (Section 3.2);</w:t>
      </w:r>
    </w:p>
    <w:p>
      <w:pPr>
        <w:pStyle w:val="Header"/>
        <w:numPr>
          <w:ilvl w:val="0"/>
          <w:numId w:val="8"/>
        </w:numPr>
        <w:tabs>
          <w:tab w:val="clear" w:pos="4320"/>
          <w:tab w:val="clear" w:pos="8640"/>
        </w:tabs>
        <w:jc w:val="both"/>
        <w:rPr>
          <w:rFonts w:ascii="Calisto MT" w:hAnsi="Calisto MT" w:cs="Calisto MT"/>
          <w:sz w:val="22"/>
        </w:rPr>
      </w:pPr>
      <w:r>
        <w:rPr>
          <w:rFonts w:cs="Calisto MT" w:ascii="Calisto MT" w:hAnsi="Calisto MT"/>
          <w:sz w:val="22"/>
        </w:rPr>
        <w:t xml:space="preserve">Management and/or release of firm gas transportation service from Stanfield to Malin (Section 3.3); and </w:t>
      </w:r>
    </w:p>
    <w:p>
      <w:pPr>
        <w:pStyle w:val="Header"/>
        <w:numPr>
          <w:ilvl w:val="0"/>
          <w:numId w:val="8"/>
        </w:numPr>
        <w:tabs>
          <w:tab w:val="clear" w:pos="4320"/>
          <w:tab w:val="clear" w:pos="8640"/>
        </w:tabs>
        <w:jc w:val="both"/>
        <w:rPr>
          <w:rFonts w:ascii="Calisto MT" w:hAnsi="Calisto MT" w:cs="Calisto MT"/>
          <w:sz w:val="22"/>
        </w:rPr>
      </w:pPr>
      <w:r>
        <w:rPr>
          <w:rFonts w:cs="Calisto MT" w:ascii="Calisto MT" w:hAnsi="Calisto MT"/>
          <w:sz w:val="22"/>
        </w:rPr>
        <w:t>Energy Conversion Services (“ECS”) from the Wallula Power Project (Section 3.4).</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numPr>
          <w:ilvl w:val="0"/>
          <w:numId w:val="5"/>
        </w:numPr>
        <w:tabs>
          <w:tab w:val="clear" w:pos="4320"/>
          <w:tab w:val="clear" w:pos="8640"/>
        </w:tabs>
        <w:rPr>
          <w:rFonts w:ascii="Calisto MT" w:hAnsi="Calisto MT" w:cs="Calisto MT"/>
          <w:b/>
          <w:bCs/>
          <w:smallCaps/>
          <w:sz w:val="22"/>
        </w:rPr>
      </w:pPr>
      <w:r>
        <w:rPr>
          <w:rFonts w:cs="Calisto MT" w:ascii="Calisto MT" w:hAnsi="Calisto MT"/>
          <w:b/>
          <w:bCs/>
          <w:smallCaps/>
          <w:sz w:val="22"/>
        </w:rPr>
        <w:t>Gas Pipeline Capacity</w:t>
      </w:r>
    </w:p>
    <w:p>
      <w:pPr>
        <w:pStyle w:val="Header"/>
        <w:tabs>
          <w:tab w:val="clear" w:pos="4320"/>
          <w:tab w:val="clear" w:pos="8640"/>
        </w:tabs>
        <w:jc w:val="both"/>
        <w:rPr>
          <w:rFonts w:ascii="Calisto MT" w:hAnsi="Calisto MT" w:cs="Calisto MT"/>
          <w:b/>
          <w:bCs/>
          <w:smallCaps/>
          <w:sz w:val="22"/>
        </w:rPr>
      </w:pPr>
      <w:r>
        <w:rPr>
          <w:rFonts w:cs="Calisto MT" w:ascii="Calisto MT" w:hAnsi="Calisto MT"/>
          <w:b/>
          <w:bCs/>
          <w:smallCaps/>
          <w:sz w:val="22"/>
        </w:rPr>
      </w:r>
    </w:p>
    <w:p>
      <w:pPr>
        <w:pStyle w:val="Header"/>
        <w:tabs>
          <w:tab w:val="clear" w:pos="4320"/>
          <w:tab w:val="clear" w:pos="8640"/>
        </w:tabs>
        <w:jc w:val="both"/>
        <w:rPr>
          <w:rFonts w:ascii="Calisto MT" w:hAnsi="Calisto MT" w:cs="Calisto MT"/>
          <w:sz w:val="22"/>
        </w:rPr>
      </w:pPr>
      <w:r>
        <w:rPr>
          <w:rFonts w:cs="Calisto MT" w:ascii="Calisto MT" w:hAnsi="Calisto MT"/>
          <w:sz w:val="22"/>
        </w:rPr>
        <w:t>NNW has secured the following pipeline capacity:</w:t>
      </w:r>
    </w:p>
    <w:p>
      <w:pPr>
        <w:pStyle w:val="Header"/>
        <w:tabs>
          <w:tab w:val="clear" w:pos="4320"/>
          <w:tab w:val="clear" w:pos="8640"/>
        </w:tabs>
        <w:jc w:val="both"/>
        <w:rPr>
          <w:rFonts w:ascii="Calisto MT" w:hAnsi="Calisto MT" w:cs="Calisto MT"/>
          <w:sz w:val="22"/>
        </w:rPr>
      </w:pPr>
      <w:r>
        <w:rPr>
          <w:rFonts w:cs="Calisto MT" w:ascii="Calisto MT" w:hAnsi="Calisto MT"/>
          <w:sz w:val="22"/>
        </w:rPr>
      </w:r>
    </w:p>
    <w:tbl>
      <w:tblPr>
        <w:tblW w:w="8856" w:type="dxa"/>
        <w:jc w:val="start"/>
        <w:tblInd w:w="0" w:type="dxa"/>
        <w:tblLayout w:type="fixed"/>
        <w:tblCellMar>
          <w:top w:w="0" w:type="dxa"/>
          <w:start w:w="108" w:type="dxa"/>
          <w:bottom w:w="0" w:type="dxa"/>
          <w:end w:w="108" w:type="dxa"/>
        </w:tblCellMar>
      </w:tblPr>
      <w:tblGrid>
        <w:gridCol w:w="1493"/>
        <w:gridCol w:w="1240"/>
        <w:gridCol w:w="1509"/>
        <w:gridCol w:w="1541"/>
        <w:gridCol w:w="1704"/>
        <w:gridCol w:w="1369"/>
      </w:tblGrid>
      <w:tr>
        <w:trPr/>
        <w:tc>
          <w:tcPr>
            <w:tcW w:w="1493" w:type="dxa"/>
            <w:tcBorders>
              <w:top w:val="single" w:sz="4" w:space="0" w:color="000000"/>
              <w:start w:val="single" w:sz="4" w:space="0" w:color="000000"/>
              <w:bottom w:val="single" w:sz="4" w:space="0" w:color="000000"/>
            </w:tcBorders>
          </w:tcPr>
          <w:p>
            <w:pPr>
              <w:pStyle w:val="Header"/>
              <w:tabs>
                <w:tab w:val="clear" w:pos="4320"/>
                <w:tab w:val="clear" w:pos="8640"/>
              </w:tabs>
              <w:jc w:val="center"/>
              <w:rPr>
                <w:rFonts w:ascii="Calisto MT" w:hAnsi="Calisto MT" w:cs="Calisto MT"/>
                <w:b/>
                <w:bCs/>
                <w:smallCaps/>
                <w:sz w:val="18"/>
              </w:rPr>
            </w:pPr>
            <w:r>
              <w:rPr>
                <w:rFonts w:cs="Calisto MT" w:ascii="Calisto MT" w:hAnsi="Calisto MT"/>
                <w:b/>
                <w:bCs/>
                <w:smallCaps/>
                <w:sz w:val="18"/>
              </w:rPr>
              <w:t>Pipeline</w:t>
            </w:r>
          </w:p>
        </w:tc>
        <w:tc>
          <w:tcPr>
            <w:tcW w:w="1240" w:type="dxa"/>
            <w:tcBorders>
              <w:top w:val="single" w:sz="4" w:space="0" w:color="000000"/>
              <w:bottom w:val="single" w:sz="4" w:space="0" w:color="000000"/>
            </w:tcBorders>
          </w:tcPr>
          <w:p>
            <w:pPr>
              <w:pStyle w:val="Header"/>
              <w:tabs>
                <w:tab w:val="clear" w:pos="4320"/>
                <w:tab w:val="clear" w:pos="8640"/>
              </w:tabs>
              <w:jc w:val="center"/>
              <w:rPr>
                <w:rFonts w:ascii="Calisto MT" w:hAnsi="Calisto MT" w:cs="Calisto MT"/>
                <w:b/>
                <w:bCs/>
                <w:smallCaps/>
                <w:sz w:val="18"/>
              </w:rPr>
            </w:pPr>
            <w:r>
              <w:rPr>
                <w:rFonts w:cs="Calisto MT" w:ascii="Calisto MT" w:hAnsi="Calisto MT"/>
                <w:b/>
                <w:bCs/>
                <w:smallCaps/>
                <w:sz w:val="18"/>
              </w:rPr>
              <w:t>Capacity (Dth/day)</w:t>
            </w:r>
          </w:p>
        </w:tc>
        <w:tc>
          <w:tcPr>
            <w:tcW w:w="1509" w:type="dxa"/>
            <w:tcBorders>
              <w:top w:val="single" w:sz="4" w:space="0" w:color="000000"/>
              <w:bottom w:val="single" w:sz="4" w:space="0" w:color="000000"/>
            </w:tcBorders>
          </w:tcPr>
          <w:p>
            <w:pPr>
              <w:pStyle w:val="Header"/>
              <w:tabs>
                <w:tab w:val="clear" w:pos="4320"/>
                <w:tab w:val="clear" w:pos="8640"/>
              </w:tabs>
              <w:jc w:val="center"/>
              <w:rPr>
                <w:rFonts w:ascii="Calisto MT" w:hAnsi="Calisto MT" w:cs="Calisto MT"/>
                <w:b/>
                <w:bCs/>
                <w:smallCaps/>
                <w:sz w:val="18"/>
              </w:rPr>
            </w:pPr>
            <w:r>
              <w:rPr>
                <w:rFonts w:cs="Calisto MT" w:ascii="Calisto MT" w:hAnsi="Calisto MT"/>
                <w:b/>
                <w:bCs/>
                <w:smallCaps/>
                <w:sz w:val="18"/>
              </w:rPr>
              <w:t>Receipt</w:t>
            </w:r>
          </w:p>
        </w:tc>
        <w:tc>
          <w:tcPr>
            <w:tcW w:w="1541" w:type="dxa"/>
            <w:tcBorders>
              <w:top w:val="single" w:sz="4" w:space="0" w:color="000000"/>
              <w:bottom w:val="single" w:sz="4" w:space="0" w:color="000000"/>
            </w:tcBorders>
          </w:tcPr>
          <w:p>
            <w:pPr>
              <w:pStyle w:val="Header"/>
              <w:tabs>
                <w:tab w:val="clear" w:pos="4320"/>
                <w:tab w:val="clear" w:pos="8640"/>
              </w:tabs>
              <w:jc w:val="center"/>
              <w:rPr>
                <w:rFonts w:ascii="Calisto MT" w:hAnsi="Calisto MT" w:cs="Calisto MT"/>
                <w:b/>
                <w:bCs/>
                <w:smallCaps/>
                <w:sz w:val="18"/>
              </w:rPr>
            </w:pPr>
            <w:r>
              <w:rPr>
                <w:rFonts w:cs="Calisto MT" w:ascii="Calisto MT" w:hAnsi="Calisto MT"/>
                <w:b/>
                <w:bCs/>
                <w:smallCaps/>
                <w:sz w:val="18"/>
              </w:rPr>
              <w:t>Delivery</w:t>
            </w:r>
          </w:p>
        </w:tc>
        <w:tc>
          <w:tcPr>
            <w:tcW w:w="1704" w:type="dxa"/>
            <w:tcBorders>
              <w:top w:val="single" w:sz="4" w:space="0" w:color="000000"/>
              <w:bottom w:val="single" w:sz="4" w:space="0" w:color="000000"/>
            </w:tcBorders>
          </w:tcPr>
          <w:p>
            <w:pPr>
              <w:pStyle w:val="Header"/>
              <w:tabs>
                <w:tab w:val="clear" w:pos="4320"/>
                <w:tab w:val="clear" w:pos="8640"/>
              </w:tabs>
              <w:jc w:val="center"/>
              <w:rPr>
                <w:rFonts w:ascii="Calisto MT" w:hAnsi="Calisto MT" w:cs="Calisto MT"/>
                <w:b/>
                <w:bCs/>
                <w:smallCaps/>
                <w:sz w:val="18"/>
              </w:rPr>
            </w:pPr>
            <w:r>
              <w:rPr>
                <w:rFonts w:cs="Calisto MT" w:ascii="Calisto MT" w:hAnsi="Calisto MT"/>
                <w:b/>
                <w:bCs/>
                <w:smallCaps/>
                <w:sz w:val="18"/>
              </w:rPr>
              <w:t>Targeted Availability Date</w:t>
            </w:r>
          </w:p>
        </w:tc>
        <w:tc>
          <w:tcPr>
            <w:tcW w:w="1369" w:type="dxa"/>
            <w:tcBorders>
              <w:top w:val="single" w:sz="4" w:space="0" w:color="000000"/>
              <w:bottom w:val="single" w:sz="4" w:space="0" w:color="000000"/>
              <w:end w:val="single" w:sz="4" w:space="0" w:color="000000"/>
            </w:tcBorders>
          </w:tcPr>
          <w:p>
            <w:pPr>
              <w:pStyle w:val="Header"/>
              <w:tabs>
                <w:tab w:val="clear" w:pos="4320"/>
                <w:tab w:val="clear" w:pos="8640"/>
              </w:tabs>
              <w:jc w:val="center"/>
              <w:rPr>
                <w:rFonts w:ascii="Calisto MT" w:hAnsi="Calisto MT" w:cs="Calisto MT"/>
                <w:b/>
                <w:bCs/>
                <w:smallCaps/>
                <w:sz w:val="18"/>
              </w:rPr>
            </w:pPr>
            <w:r>
              <w:rPr>
                <w:rFonts w:cs="Calisto MT" w:ascii="Calisto MT" w:hAnsi="Calisto MT"/>
                <w:b/>
                <w:bCs/>
                <w:smallCaps/>
                <w:sz w:val="18"/>
              </w:rPr>
              <w:t>Term</w:t>
            </w:r>
          </w:p>
        </w:tc>
      </w:tr>
      <w:tr>
        <w:trPr/>
        <w:tc>
          <w:tcPr>
            <w:tcW w:w="1493" w:type="dxa"/>
            <w:tcBorders>
              <w:top w:val="single" w:sz="4" w:space="0" w:color="000000"/>
            </w:tcBorders>
          </w:tcPr>
          <w:p>
            <w:pPr>
              <w:pStyle w:val="Header"/>
              <w:tabs>
                <w:tab w:val="clear" w:pos="4320"/>
                <w:tab w:val="clear" w:pos="8640"/>
              </w:tabs>
              <w:snapToGrid w:val="false"/>
              <w:jc w:val="center"/>
              <w:rPr>
                <w:rFonts w:ascii="Calisto MT" w:hAnsi="Calisto MT" w:cs="Calisto MT"/>
                <w:b/>
                <w:bCs/>
                <w:smallCaps/>
                <w:sz w:val="20"/>
              </w:rPr>
            </w:pPr>
            <w:r>
              <w:rPr>
                <w:rFonts w:cs="Calisto MT" w:ascii="Calisto MT" w:hAnsi="Calisto MT"/>
                <w:b/>
                <w:bCs/>
                <w:smallCaps/>
                <w:sz w:val="20"/>
              </w:rPr>
            </w:r>
          </w:p>
        </w:tc>
        <w:tc>
          <w:tcPr>
            <w:tcW w:w="1240" w:type="dxa"/>
            <w:tcBorders>
              <w:top w:val="single" w:sz="4" w:space="0" w:color="000000"/>
            </w:tcBorders>
          </w:tcPr>
          <w:p>
            <w:pPr>
              <w:pStyle w:val="Header"/>
              <w:tabs>
                <w:tab w:val="clear" w:pos="4320"/>
                <w:tab w:val="clear" w:pos="8640"/>
              </w:tabs>
              <w:snapToGrid w:val="false"/>
              <w:jc w:val="center"/>
              <w:rPr>
                <w:rFonts w:ascii="Calisto MT" w:hAnsi="Calisto MT" w:cs="Calisto MT"/>
                <w:sz w:val="20"/>
              </w:rPr>
            </w:pPr>
            <w:r>
              <w:rPr>
                <w:rFonts w:cs="Calisto MT" w:ascii="Calisto MT" w:hAnsi="Calisto MT"/>
                <w:sz w:val="20"/>
              </w:rPr>
            </w:r>
          </w:p>
        </w:tc>
        <w:tc>
          <w:tcPr>
            <w:tcW w:w="1509" w:type="dxa"/>
            <w:tcBorders>
              <w:top w:val="single" w:sz="4" w:space="0" w:color="000000"/>
            </w:tcBorders>
          </w:tcPr>
          <w:p>
            <w:pPr>
              <w:pStyle w:val="Header"/>
              <w:tabs>
                <w:tab w:val="clear" w:pos="4320"/>
                <w:tab w:val="clear" w:pos="8640"/>
              </w:tabs>
              <w:snapToGrid w:val="false"/>
              <w:jc w:val="center"/>
              <w:rPr>
                <w:rFonts w:ascii="Calisto MT" w:hAnsi="Calisto MT" w:cs="Calisto MT"/>
                <w:sz w:val="20"/>
              </w:rPr>
            </w:pPr>
            <w:r>
              <w:rPr>
                <w:rFonts w:cs="Calisto MT" w:ascii="Calisto MT" w:hAnsi="Calisto MT"/>
                <w:sz w:val="20"/>
              </w:rPr>
            </w:r>
          </w:p>
        </w:tc>
        <w:tc>
          <w:tcPr>
            <w:tcW w:w="1541" w:type="dxa"/>
            <w:tcBorders>
              <w:top w:val="single" w:sz="4" w:space="0" w:color="000000"/>
            </w:tcBorders>
          </w:tcPr>
          <w:p>
            <w:pPr>
              <w:pStyle w:val="Header"/>
              <w:tabs>
                <w:tab w:val="clear" w:pos="4320"/>
                <w:tab w:val="clear" w:pos="8640"/>
              </w:tabs>
              <w:snapToGrid w:val="false"/>
              <w:jc w:val="center"/>
              <w:rPr>
                <w:rFonts w:ascii="Calisto MT" w:hAnsi="Calisto MT" w:cs="Calisto MT"/>
                <w:sz w:val="20"/>
              </w:rPr>
            </w:pPr>
            <w:r>
              <w:rPr>
                <w:rFonts w:cs="Calisto MT" w:ascii="Calisto MT" w:hAnsi="Calisto MT"/>
                <w:sz w:val="20"/>
              </w:rPr>
            </w:r>
          </w:p>
        </w:tc>
        <w:tc>
          <w:tcPr>
            <w:tcW w:w="1704" w:type="dxa"/>
            <w:tcBorders>
              <w:top w:val="single" w:sz="4" w:space="0" w:color="000000"/>
            </w:tcBorders>
          </w:tcPr>
          <w:p>
            <w:pPr>
              <w:pStyle w:val="Header"/>
              <w:tabs>
                <w:tab w:val="clear" w:pos="4320"/>
                <w:tab w:val="clear" w:pos="8640"/>
              </w:tabs>
              <w:snapToGrid w:val="false"/>
              <w:jc w:val="center"/>
              <w:rPr>
                <w:rFonts w:ascii="Calisto MT" w:hAnsi="Calisto MT" w:cs="Calisto MT"/>
                <w:sz w:val="20"/>
              </w:rPr>
            </w:pPr>
            <w:r>
              <w:rPr>
                <w:rFonts w:cs="Calisto MT" w:ascii="Calisto MT" w:hAnsi="Calisto MT"/>
                <w:sz w:val="20"/>
              </w:rPr>
            </w:r>
          </w:p>
        </w:tc>
        <w:tc>
          <w:tcPr>
            <w:tcW w:w="1369" w:type="dxa"/>
            <w:tcBorders>
              <w:top w:val="single" w:sz="4" w:space="0" w:color="000000"/>
            </w:tcBorders>
          </w:tcPr>
          <w:p>
            <w:pPr>
              <w:pStyle w:val="Header"/>
              <w:tabs>
                <w:tab w:val="clear" w:pos="4320"/>
                <w:tab w:val="clear" w:pos="8640"/>
              </w:tabs>
              <w:snapToGrid w:val="false"/>
              <w:rPr>
                <w:rFonts w:ascii="Calisto MT" w:hAnsi="Calisto MT" w:cs="Calisto MT"/>
                <w:sz w:val="20"/>
              </w:rPr>
            </w:pPr>
            <w:r>
              <w:rPr>
                <w:rFonts w:cs="Calisto MT" w:ascii="Calisto MT" w:hAnsi="Calisto MT"/>
                <w:sz w:val="20"/>
              </w:rPr>
            </w:r>
          </w:p>
        </w:tc>
      </w:tr>
      <w:tr>
        <w:trPr/>
        <w:tc>
          <w:tcPr>
            <w:tcW w:w="1493"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PGT</w:t>
            </w:r>
          </w:p>
        </w:tc>
        <w:tc>
          <w:tcPr>
            <w:tcW w:w="1240"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175,000</w:t>
            </w:r>
          </w:p>
        </w:tc>
        <w:tc>
          <w:tcPr>
            <w:tcW w:w="1509"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Kingsgate</w:t>
            </w:r>
          </w:p>
        </w:tc>
        <w:tc>
          <w:tcPr>
            <w:tcW w:w="1541"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Malin</w:t>
            </w:r>
          </w:p>
        </w:tc>
        <w:tc>
          <w:tcPr>
            <w:tcW w:w="1704"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June 2002</w:t>
            </w:r>
          </w:p>
        </w:tc>
        <w:tc>
          <w:tcPr>
            <w:tcW w:w="1369" w:type="dxa"/>
            <w:tcBorders/>
          </w:tcPr>
          <w:p>
            <w:pPr>
              <w:pStyle w:val="Header"/>
              <w:tabs>
                <w:tab w:val="clear" w:pos="4320"/>
                <w:tab w:val="clear" w:pos="8640"/>
              </w:tabs>
              <w:spacing w:before="0" w:after="120"/>
              <w:rPr>
                <w:rFonts w:ascii="Calisto MT" w:hAnsi="Calisto MT" w:cs="Calisto MT"/>
                <w:sz w:val="18"/>
              </w:rPr>
            </w:pPr>
            <w:r>
              <w:rPr>
                <w:rFonts w:cs="Calisto MT" w:ascii="Calisto MT" w:hAnsi="Calisto MT"/>
                <w:sz w:val="18"/>
              </w:rPr>
              <w:t>In excess of 25 years</w:t>
            </w:r>
          </w:p>
        </w:tc>
      </w:tr>
      <w:tr>
        <w:trPr/>
        <w:tc>
          <w:tcPr>
            <w:tcW w:w="1493"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NOVA</w:t>
            </w:r>
          </w:p>
        </w:tc>
        <w:tc>
          <w:tcPr>
            <w:tcW w:w="1240"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69,014</w:t>
            </w:r>
          </w:p>
        </w:tc>
        <w:tc>
          <w:tcPr>
            <w:tcW w:w="1509"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AECO</w:t>
            </w:r>
          </w:p>
        </w:tc>
        <w:tc>
          <w:tcPr>
            <w:tcW w:w="1541"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Alberta-BC Border</w:t>
            </w:r>
          </w:p>
        </w:tc>
        <w:tc>
          <w:tcPr>
            <w:tcW w:w="1704"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June 2002</w:t>
            </w:r>
          </w:p>
        </w:tc>
        <w:tc>
          <w:tcPr>
            <w:tcW w:w="1369" w:type="dxa"/>
            <w:tcBorders/>
          </w:tcPr>
          <w:p>
            <w:pPr>
              <w:pStyle w:val="Header"/>
              <w:tabs>
                <w:tab w:val="clear" w:pos="4320"/>
                <w:tab w:val="clear" w:pos="8640"/>
              </w:tabs>
              <w:spacing w:before="0" w:after="120"/>
              <w:rPr>
                <w:rFonts w:ascii="Calisto MT" w:hAnsi="Calisto MT" w:cs="Calisto MT"/>
                <w:sz w:val="18"/>
              </w:rPr>
            </w:pPr>
            <w:r>
              <w:rPr>
                <w:rFonts w:cs="Calisto MT" w:ascii="Calisto MT" w:hAnsi="Calisto MT"/>
                <w:sz w:val="18"/>
              </w:rPr>
              <w:t>15 years with ever-green option</w:t>
            </w:r>
          </w:p>
        </w:tc>
      </w:tr>
      <w:tr>
        <w:trPr/>
        <w:tc>
          <w:tcPr>
            <w:tcW w:w="1493"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ANG</w:t>
            </w:r>
          </w:p>
        </w:tc>
        <w:tc>
          <w:tcPr>
            <w:tcW w:w="1240"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142,088</w:t>
            </w:r>
          </w:p>
        </w:tc>
        <w:tc>
          <w:tcPr>
            <w:tcW w:w="1509"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Alberta-BC Border</w:t>
            </w:r>
          </w:p>
        </w:tc>
        <w:tc>
          <w:tcPr>
            <w:tcW w:w="1541"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Kingsgate</w:t>
            </w:r>
          </w:p>
        </w:tc>
        <w:tc>
          <w:tcPr>
            <w:tcW w:w="1704" w:type="dxa"/>
            <w:tcBorders/>
          </w:tcPr>
          <w:p>
            <w:pPr>
              <w:pStyle w:val="Header"/>
              <w:tabs>
                <w:tab w:val="clear" w:pos="4320"/>
                <w:tab w:val="clear" w:pos="8640"/>
              </w:tabs>
              <w:spacing w:before="0" w:after="120"/>
              <w:jc w:val="center"/>
              <w:rPr>
                <w:rFonts w:ascii="Calisto MT" w:hAnsi="Calisto MT" w:cs="Calisto MT"/>
                <w:sz w:val="18"/>
              </w:rPr>
            </w:pPr>
            <w:r>
              <w:rPr>
                <w:rFonts w:cs="Calisto MT" w:ascii="Calisto MT" w:hAnsi="Calisto MT"/>
                <w:sz w:val="18"/>
              </w:rPr>
              <w:t>June 2002</w:t>
            </w:r>
          </w:p>
        </w:tc>
        <w:tc>
          <w:tcPr>
            <w:tcW w:w="1369" w:type="dxa"/>
            <w:tcBorders/>
          </w:tcPr>
          <w:p>
            <w:pPr>
              <w:pStyle w:val="Header"/>
              <w:tabs>
                <w:tab w:val="clear" w:pos="4320"/>
                <w:tab w:val="clear" w:pos="8640"/>
              </w:tabs>
              <w:spacing w:before="0" w:after="120"/>
              <w:rPr>
                <w:rFonts w:ascii="Calisto MT" w:hAnsi="Calisto MT" w:cs="Calisto MT"/>
                <w:sz w:val="18"/>
              </w:rPr>
            </w:pPr>
            <w:r>
              <w:rPr>
                <w:rFonts w:cs="Calisto MT" w:ascii="Calisto MT" w:hAnsi="Calisto MT"/>
                <w:sz w:val="18"/>
              </w:rPr>
              <w:t>15 years with ever-green option</w:t>
            </w:r>
          </w:p>
        </w:tc>
      </w:tr>
    </w:tbl>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i/>
          <w:i/>
          <w:iCs/>
          <w:sz w:val="22"/>
          <w:u w:val="single"/>
        </w:rPr>
      </w:pPr>
      <w:r>
        <w:drawing>
          <wp:anchor behindDoc="0" distT="0" distB="0" distL="114935" distR="114935" simplePos="0" locked="0" layoutInCell="0" allowOverlap="1" relativeHeight="9">
            <wp:simplePos x="0" y="0"/>
            <wp:positionH relativeFrom="column">
              <wp:posOffset>2171700</wp:posOffset>
            </wp:positionH>
            <wp:positionV relativeFrom="paragraph">
              <wp:posOffset>20320</wp:posOffset>
            </wp:positionV>
            <wp:extent cx="3276600" cy="3216275"/>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7857" t="4420" r="14793" b="-6"/>
                    <a:stretch>
                      <a:fillRect/>
                    </a:stretch>
                  </pic:blipFill>
                  <pic:spPr bwMode="auto">
                    <a:xfrm>
                      <a:off x="0" y="0"/>
                      <a:ext cx="3276600" cy="3216275"/>
                    </a:xfrm>
                    <a:prstGeom prst="rect">
                      <a:avLst/>
                    </a:prstGeom>
                    <a:noFill/>
                  </pic:spPr>
                </pic:pic>
              </a:graphicData>
            </a:graphic>
          </wp:anchor>
        </w:drawing>
      </w:r>
      <w:r>
        <w:rPr>
          <w:rFonts w:cs="Calisto MT" w:ascii="Calisto MT" w:hAnsi="Calisto MT"/>
          <w:i/>
          <w:iCs/>
          <w:sz w:val="22"/>
          <w:u w:val="single"/>
        </w:rPr>
        <w:t>1.1 PGT Pipeline Capacity</w:t>
      </w:r>
    </w:p>
    <w:p>
      <w:pPr>
        <w:pStyle w:val="Header"/>
        <w:tabs>
          <w:tab w:val="clear" w:pos="4320"/>
          <w:tab w:val="clear" w:pos="8640"/>
        </w:tabs>
        <w:jc w:val="both"/>
        <w:rPr>
          <w:rFonts w:ascii="Calisto MT" w:hAnsi="Calisto MT" w:cs="Calisto MT"/>
          <w:sz w:val="22"/>
        </w:rPr>
      </w:pPr>
      <w:r>
        <w:rPr>
          <w:rFonts w:cs="Calisto MT" w:ascii="Calisto MT" w:hAnsi="Calisto MT"/>
          <w:sz w:val="22"/>
        </w:rPr>
        <w:t xml:space="preserve">NNW secured firm transportation service (“FTS”) for 175,000 Dth/day on PGT’s pipeline from Kingsgate to Malin no later than November 2002 and extending for a term in excess of 25 years.   In addition, PGT has plans to make this capacity available as early as June 2002, and, if so, PGT and NNW have agreed that the start date of FTS will commence at that time.  Execution of a Firm Transportation Service Agreement, pursuant to the Firm Transportation Precedent Agreement  (Attachment 1), with PGT is expected within thirty (30) days from PGT receipt of approval of the transaction from the Federal Energy Regulatory Commission  (“FERC”) and transporter tariff requirements.  </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t>1.2 TCPL Pipeline Capacity</w:t>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r>
    </w:p>
    <w:p>
      <w:pPr>
        <w:pStyle w:val="Header"/>
        <w:tabs>
          <w:tab w:val="clear" w:pos="4320"/>
          <w:tab w:val="clear" w:pos="8640"/>
        </w:tabs>
        <w:ind w:start="720" w:end="0"/>
        <w:jc w:val="both"/>
        <w:rPr>
          <w:rFonts w:ascii="Calisto MT" w:hAnsi="Calisto MT" w:cs="Calisto MT"/>
          <w:sz w:val="22"/>
        </w:rPr>
      </w:pPr>
      <w:r>
        <w:rPr>
          <w:rFonts w:cs="Calisto MT" w:ascii="Calisto MT" w:hAnsi="Calisto MT"/>
          <w:i/>
          <w:iCs/>
          <w:sz w:val="22"/>
        </w:rPr>
        <w:t>1.2.1NOVA Pipeline Capacity</w:t>
      </w:r>
    </w:p>
    <w:p>
      <w:pPr>
        <w:pStyle w:val="Header"/>
        <w:tabs>
          <w:tab w:val="clear" w:pos="4320"/>
          <w:tab w:val="clear" w:pos="8640"/>
        </w:tabs>
        <w:ind w:start="720" w:end="0"/>
        <w:jc w:val="both"/>
        <w:rPr>
          <w:rFonts w:ascii="Calisto MT" w:hAnsi="Calisto MT" w:cs="Calisto MT"/>
          <w:sz w:val="22"/>
        </w:rPr>
      </w:pPr>
      <w:r>
        <w:rPr>
          <w:rFonts w:cs="Calisto MT" w:ascii="Calisto MT" w:hAnsi="Calisto MT"/>
          <w:sz w:val="22"/>
        </w:rPr>
        <w:t xml:space="preserve">NNW, through PGT’s bid for TCPL capacity, secured 69,014 Dth/day firm gas transportation capacity from the hub at AECO, near Calgary, to the Alberta-British Columbia Border, near the Crowsnest compression station.  This capacity is expected to be available no later than November 2002, with a targeted date of June 2002, and extending for 15 years with an ever-green renewal option. NNW expects that its position on PGT will give it an advantage to pursue additional capacity on the NOVA pipeline to match the capacity downstream. Execution of a Firm Transportation Upstream Capacity Agreement (Attachment 2) with TCPL for this capacity is expected within thirty (30) days from TCPL receipt of approval for the transaction from the National Energy Board and will be subject to transporter tariff requirements. </w:t>
      </w:r>
    </w:p>
    <w:p>
      <w:pPr>
        <w:pStyle w:val="Header"/>
        <w:tabs>
          <w:tab w:val="clear" w:pos="4320"/>
          <w:tab w:val="clear" w:pos="8640"/>
        </w:tabs>
        <w:ind w:start="720" w:end="0"/>
        <w:jc w:val="both"/>
        <w:rPr>
          <w:rFonts w:ascii="Calisto MT" w:hAnsi="Calisto MT" w:cs="Calisto MT"/>
          <w:sz w:val="22"/>
        </w:rPr>
      </w:pPr>
      <w:r>
        <w:rPr>
          <w:rFonts w:cs="Calisto MT" w:ascii="Calisto MT" w:hAnsi="Calisto MT"/>
          <w:sz w:val="22"/>
        </w:rPr>
      </w:r>
    </w:p>
    <w:p>
      <w:pPr>
        <w:pStyle w:val="Header"/>
        <w:tabs>
          <w:tab w:val="clear" w:pos="4320"/>
          <w:tab w:val="clear" w:pos="8640"/>
        </w:tabs>
        <w:ind w:start="720" w:end="0"/>
        <w:jc w:val="both"/>
        <w:rPr>
          <w:rFonts w:ascii="Calisto MT" w:hAnsi="Calisto MT" w:cs="Calisto MT"/>
          <w:i/>
          <w:i/>
          <w:iCs/>
          <w:sz w:val="22"/>
        </w:rPr>
      </w:pPr>
      <w:r>
        <w:rPr>
          <w:rFonts w:cs="Calisto MT" w:ascii="Calisto MT" w:hAnsi="Calisto MT"/>
          <w:i/>
          <w:iCs/>
          <w:sz w:val="22"/>
        </w:rPr>
        <w:t>1.2.2 Alberta Natural Gas (“ANG”) Pipeline Capacity</w:t>
      </w:r>
    </w:p>
    <w:p>
      <w:pPr>
        <w:pStyle w:val="Header"/>
        <w:tabs>
          <w:tab w:val="clear" w:pos="4320"/>
          <w:tab w:val="clear" w:pos="8640"/>
        </w:tabs>
        <w:ind w:start="720" w:end="0"/>
        <w:jc w:val="both"/>
        <w:rPr>
          <w:rFonts w:ascii="Calisto MT" w:hAnsi="Calisto MT" w:cs="Calisto MT"/>
          <w:sz w:val="22"/>
        </w:rPr>
      </w:pPr>
      <w:r>
        <w:rPr>
          <w:rFonts w:cs="Calisto MT" w:ascii="Calisto MT" w:hAnsi="Calisto MT"/>
          <w:sz w:val="22"/>
        </w:rPr>
        <w:t xml:space="preserve">In addition, NNW, through PGT’s bid for TCPL capacity, secured 142,088 Dth/day firm gas transportation capacity from the Alberta-British Columbia border to Kingsgate.  This capacity is expected to be available no later than November 2002, with a targeted date of June 2002, and extending for 15 years with an ever-green renewal option.  NNW expects that its position on PGT will give it an advantage to pursue additional capacity on the ANG pipeline to match the capacity downstream.  Execution of a Firm Transportation Upstream Capacity Agreement (Attachment 2) with TCPL for this capacity is expected within thirty (30) days from TCPL receipt of approval for the transaction from the National Energy Board and will be subject to transporter tariff requirements. </w:t>
      </w:r>
    </w:p>
    <w:p>
      <w:pPr>
        <w:pStyle w:val="Header"/>
        <w:tabs>
          <w:tab w:val="clear" w:pos="4320"/>
          <w:tab w:val="clear" w:pos="8640"/>
        </w:tabs>
        <w:ind w:start="720" w:end="0"/>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numPr>
          <w:ilvl w:val="0"/>
          <w:numId w:val="5"/>
        </w:numPr>
        <w:tabs>
          <w:tab w:val="clear" w:pos="4320"/>
          <w:tab w:val="clear" w:pos="8640"/>
        </w:tabs>
        <w:rPr>
          <w:rFonts w:ascii="Calisto MT" w:hAnsi="Calisto MT" w:cs="Calisto MT"/>
          <w:b/>
          <w:bCs/>
          <w:smallCaps/>
          <w:sz w:val="22"/>
        </w:rPr>
      </w:pPr>
      <w:r>
        <w:rPr>
          <w:rFonts w:cs="Calisto MT" w:ascii="Calisto MT" w:hAnsi="Calisto MT"/>
          <w:b/>
          <w:bCs/>
          <w:smallCaps/>
          <w:sz w:val="22"/>
        </w:rPr>
        <w:t>Wallula Power Project</w:t>
      </w:r>
    </w:p>
    <w:p>
      <w:pPr>
        <w:pStyle w:val="Header"/>
        <w:tabs>
          <w:tab w:val="clear" w:pos="4320"/>
          <w:tab w:val="clear" w:pos="8640"/>
        </w:tabs>
        <w:jc w:val="both"/>
        <w:rPr>
          <w:rFonts w:ascii="Calisto MT" w:hAnsi="Calisto MT" w:cs="Calisto MT"/>
          <w:b/>
          <w:bCs/>
          <w:smallCaps/>
          <w:sz w:val="22"/>
        </w:rPr>
      </w:pPr>
      <w:r>
        <w:rPr>
          <w:rFonts w:cs="Calisto MT" w:ascii="Calisto MT" w:hAnsi="Calisto MT"/>
          <w:b/>
          <w:bCs/>
          <w:smallCaps/>
          <w:sz w:val="22"/>
        </w:rPr>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t>2.1 Site</w:t>
      </w:r>
    </w:p>
    <w:p>
      <w:pPr>
        <w:pStyle w:val="Header"/>
        <w:tabs>
          <w:tab w:val="clear" w:pos="4320"/>
          <w:tab w:val="clear" w:pos="8640"/>
        </w:tabs>
        <w:jc w:val="both"/>
        <w:rPr>
          <w:rFonts w:ascii="Calisto MT" w:hAnsi="Calisto MT" w:cs="Calisto MT"/>
          <w:sz w:val="22"/>
        </w:rPr>
      </w:pPr>
      <w:r>
        <w:rPr>
          <w:rFonts w:cs="Calisto MT" w:ascii="Calisto MT" w:hAnsi="Calisto MT"/>
          <w:sz w:val="22"/>
        </w:rPr>
        <w:t>NNW is currently developing a 1,300 MW 2x2x1 gas-fired power plant based on GE MS7001 FA combustion turbine technology (see Attachment 3 for Heat Balance Diagram), and located on a 175-acre site under option from the Port Commission of Walla Walla County, Washington (“Wallula”).   The site is  zoned IH, Heavy Industrial, and is located within the proposed Atalia Industrial Urban Growth Area pursuant to the draft Comprehensive Plan for Walla Walla County.   Wallula is currently expected to reach commercial operations by October 2004 (“Wallula COD”).</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t>2.2 Permit Process and Status</w:t>
      </w:r>
    </w:p>
    <w:p>
      <w:pPr>
        <w:pStyle w:val="Normal"/>
        <w:jc w:val="both"/>
        <w:rPr>
          <w:rFonts w:ascii="Calisto MT" w:hAnsi="Calisto MT" w:cs="Calisto MT"/>
          <w:sz w:val="22"/>
        </w:rPr>
      </w:pPr>
      <w:r>
        <w:rPr>
          <w:rFonts w:cs="Calisto MT" w:ascii="Calisto MT" w:hAnsi="Calisto MT"/>
          <w:sz w:val="22"/>
        </w:rPr>
        <w:t>NNW is subject to the jurisdiction of the Washington Energy Facility Site Evaluation Council (“EFSEC”) because the proposed generating capacity is greater than 250 MW.  EFSEC provides a one-stop location for all state permitting requirements pursuant to the State Environmental Policy Act (“SEPA”).  Furthermore, EFSEC has delegated authority from EPA for the issuance of PSD Air permits.  NNW made a formal written request to EFSEC for a Potential Site Study.  EFSEC’s consultant issued the Draft Potential Site Study on February 28, 2001.  This document sets forth the specific criteria that NNW should adhere to when submitting its formal application to EFSEC.</w:t>
      </w:r>
    </w:p>
    <w:p>
      <w:pPr>
        <w:pStyle w:val="Normal"/>
        <w:jc w:val="both"/>
        <w:rPr>
          <w:rFonts w:ascii="Calisto MT" w:hAnsi="Calisto MT" w:cs="Calisto MT"/>
          <w:sz w:val="22"/>
        </w:rPr>
      </w:pPr>
      <w:r>
        <w:rPr>
          <w:rFonts w:cs="Calisto MT" w:ascii="Calisto MT" w:hAnsi="Calisto MT"/>
          <w:sz w:val="22"/>
        </w:rPr>
      </w:r>
    </w:p>
    <w:p>
      <w:pPr>
        <w:pStyle w:val="Normal"/>
        <w:jc w:val="both"/>
        <w:rPr/>
      </w:pPr>
      <w:r>
        <w:rPr>
          <w:rFonts w:cs="Calisto MT" w:ascii="Calisto MT" w:hAnsi="Calisto MT"/>
          <w:sz w:val="22"/>
        </w:rPr>
        <w:t xml:space="preserve">NNW’s request to BPA for interconnection and firm transmission service triggered environmental review of the project and required transmission facilities under the National Environmental Policy Act (”NEPA”).  </w:t>
      </w:r>
      <w:r>
        <w:rPr/>
        <w:t xml:space="preserve">Bonneville Power Administration (“BPA”) </w:t>
      </w:r>
      <w:r>
        <w:rPr>
          <w:rFonts w:cs="Calisto MT" w:ascii="Calisto MT" w:hAnsi="Calisto MT"/>
          <w:sz w:val="22"/>
        </w:rPr>
        <w:t>and EFSEC plan to conduct a joint SEPA/NEPA environmental review process, wherein an Environmental Impact Statement will be completed for the project and the proposed 29-mile Wallula Tap to McNary 500 kV transmission line (see Section 2.3).  Independently, BPA is conducting an EIS on the newly proposed 70-mile McNary-John Day 500 kV line that BPA has concluded is necessary to accommodate multiple firm transmission requests through the “West of McNary” constraint.</w:t>
      </w:r>
    </w:p>
    <w:p>
      <w:pPr>
        <w:pStyle w:val="Normal"/>
        <w:jc w:val="both"/>
        <w:rPr>
          <w:rFonts w:ascii="Calisto MT" w:hAnsi="Calisto MT" w:cs="Calisto MT"/>
          <w:sz w:val="22"/>
        </w:rPr>
      </w:pPr>
      <w:r>
        <w:rPr>
          <w:rFonts w:cs="Calisto MT" w:ascii="Calisto MT" w:hAnsi="Calisto MT"/>
          <w:sz w:val="22"/>
        </w:rPr>
      </w:r>
    </w:p>
    <w:p>
      <w:pPr>
        <w:pStyle w:val="Normal"/>
        <w:jc w:val="both"/>
        <w:rPr/>
      </w:pPr>
      <w:r>
        <w:rPr>
          <w:rFonts w:cs="Calisto MT" w:ascii="Calisto MT" w:hAnsi="Calisto MT"/>
          <w:sz w:val="22"/>
        </w:rPr>
        <w:t>NNW anticipates that the draft EFSEC application will be submitted in May 2001 and the formal application will be submitted in June 2001.  NNW anticipates that final permit approval by the Governor of Washington will be received by June 2002.</w:t>
      </w:r>
      <w:r>
        <w:rPr/>
        <w:t xml:space="preserve"> </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BodyText3"/>
        <w:jc w:val="start"/>
        <w:rPr>
          <w:i/>
          <w:i/>
          <w:iCs/>
          <w:u w:val="single"/>
        </w:rPr>
      </w:pPr>
      <w:r>
        <w:rPr>
          <w:i/>
          <w:iCs/>
          <w:u w:val="single"/>
        </w:rPr>
        <w:t>2.3 Electric Interconnection and Transmission Service</w:t>
      </w:r>
    </w:p>
    <w:p>
      <w:pPr>
        <w:pStyle w:val="BodyText3"/>
        <w:rPr/>
      </w:pPr>
      <w:r>
        <w:rPr/>
        <w:t xml:space="preserve">Wallula will interconnect with BPA’s 500 kV line 4.3 miles from the Wallula site.  </w:t>
      </w:r>
    </w:p>
    <w:p>
      <w:pPr>
        <w:pStyle w:val="BodyText3"/>
        <w:rPr/>
      </w:pPr>
      <w:r>
        <w:rPr/>
      </w:r>
    </w:p>
    <w:p>
      <w:pPr>
        <w:pStyle w:val="BodyText3"/>
        <w:rPr/>
      </w:pPr>
      <w:r>
        <w:rPr/>
        <w:t>NNW intends that bidders for ECS from Wallula will have the obligation to secure and contract for transmission service, whether firm or interruptible, for the off-take of the plant.   The effectiveness of an agreement for ECS will not be contingent on bidders’ ability to secure firm transmission service, should such firm service be elected and a contract is offered by BPA.  However, as an option assignable to bidders, NNW filed two (2) applications for firm  point-to-point transmission service with BPA.  The first application includes a request for firm transmission service from the Wallula interconnection to John Day substation for 650 MW and to Big Eddy substation for another 650 MW. The second application includes a request for firm transmission service for 650 MW from the Wallula interconnection to Maple Valley substation to allow direct access to the service territories of Puget Energy and Seattle City Light, and indirect access to Tacoma Power, and other west Cascade PUDs.</w:t>
      </w:r>
    </w:p>
    <w:p>
      <w:pPr>
        <w:pStyle w:val="Normal"/>
        <w:jc w:val="both"/>
        <w:rPr>
          <w:rFonts w:ascii="Calisto MT" w:hAnsi="Calisto MT" w:cs="Calisto MT"/>
          <w:sz w:val="22"/>
        </w:rPr>
      </w:pPr>
      <w:r>
        <w:rPr>
          <w:rFonts w:cs="Calisto MT" w:ascii="Calisto MT" w:hAnsi="Calisto MT"/>
          <w:sz w:val="22"/>
        </w:rPr>
      </w:r>
    </w:p>
    <w:p>
      <w:pPr>
        <w:pStyle w:val="BodyText3"/>
        <w:rPr/>
      </w:pPr>
      <w:r>
        <w:rPr/>
        <w:t>BPA completed a System Impact Study and made a number of recommendations concerning system upgrades that may be required.  Although the results of the study are still subject to further review and possible change, NNW elected to cooperate with BPA in implementing several of the more significant items.  These include:</w:t>
      </w:r>
    </w:p>
    <w:p>
      <w:pPr>
        <w:pStyle w:val="Normal"/>
        <w:jc w:val="both"/>
        <w:rPr>
          <w:rFonts w:ascii="Calisto MT" w:hAnsi="Calisto MT" w:cs="Calisto MT"/>
          <w:sz w:val="22"/>
        </w:rPr>
      </w:pPr>
      <w:r>
        <w:rPr>
          <w:rFonts w:cs="Calisto MT" w:ascii="Calisto MT" w:hAnsi="Calisto MT"/>
          <w:sz w:val="22"/>
        </w:rPr>
      </w:r>
    </w:p>
    <w:p>
      <w:pPr>
        <w:pStyle w:val="Normal"/>
        <w:numPr>
          <w:ilvl w:val="0"/>
          <w:numId w:val="4"/>
        </w:numPr>
        <w:spacing w:before="0" w:after="120"/>
        <w:jc w:val="both"/>
        <w:rPr>
          <w:rFonts w:ascii="Calisto MT" w:hAnsi="Calisto MT" w:cs="Calisto MT"/>
          <w:sz w:val="22"/>
        </w:rPr>
      </w:pPr>
      <w:r>
        <w:rPr>
          <w:rFonts w:cs="Calisto MT" w:ascii="Calisto MT" w:hAnsi="Calisto MT"/>
          <w:sz w:val="22"/>
        </w:rPr>
        <w:t>A 4.3-mile line and a new switchyard that taps the existing 500 kV line from Lower Monument to McNary substations;</w:t>
      </w:r>
    </w:p>
    <w:p>
      <w:pPr>
        <w:pStyle w:val="Normal"/>
        <w:numPr>
          <w:ilvl w:val="0"/>
          <w:numId w:val="4"/>
        </w:numPr>
        <w:spacing w:before="0" w:after="120"/>
        <w:jc w:val="both"/>
        <w:rPr>
          <w:rFonts w:ascii="Calisto MT" w:hAnsi="Calisto MT" w:cs="Calisto MT"/>
          <w:sz w:val="22"/>
        </w:rPr>
      </w:pPr>
      <w:r>
        <w:rPr>
          <w:rFonts w:cs="Calisto MT" w:ascii="Calisto MT" w:hAnsi="Calisto MT"/>
          <w:sz w:val="22"/>
        </w:rPr>
        <w:t>A 29-mile 500 kV line that connects the new switchyard to the McNary substation; and</w:t>
      </w:r>
    </w:p>
    <w:p>
      <w:pPr>
        <w:pStyle w:val="Normal"/>
        <w:numPr>
          <w:ilvl w:val="0"/>
          <w:numId w:val="4"/>
        </w:numPr>
        <w:spacing w:before="0" w:after="120"/>
        <w:jc w:val="both"/>
        <w:rPr>
          <w:rFonts w:ascii="Calisto MT" w:hAnsi="Calisto MT" w:cs="Calisto MT"/>
          <w:sz w:val="22"/>
        </w:rPr>
      </w:pPr>
      <w:r>
        <w:rPr>
          <w:rFonts w:cs="Calisto MT" w:ascii="Calisto MT" w:hAnsi="Calisto MT"/>
          <w:sz w:val="22"/>
        </w:rPr>
        <w:t>A 50/50 sharing arrangement with the Starbuck Power Project to implement a 70 mile 500 kV line that provides an additional circuit connecting the McNary substation to the John Day substation.</w:t>
      </w:r>
    </w:p>
    <w:p>
      <w:pPr>
        <w:pStyle w:val="BodyText3"/>
        <w:rPr/>
      </w:pPr>
      <w:r>
        <w:rPr/>
        <w:t>Please note that none of the above is a pre-condition to interconnection, and the costs required to implement them will be covered by BPA, and BPA, in turn, will recover these costs through the firm transmission tariff charged for the service.</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t>2.4 Water Supply</w:t>
      </w:r>
    </w:p>
    <w:p>
      <w:pPr>
        <w:pStyle w:val="Header"/>
        <w:tabs>
          <w:tab w:val="clear" w:pos="4320"/>
          <w:tab w:val="clear" w:pos="8640"/>
        </w:tabs>
        <w:jc w:val="both"/>
        <w:rPr>
          <w:rFonts w:ascii="Calisto MT" w:hAnsi="Calisto MT" w:cs="Calisto MT"/>
          <w:sz w:val="22"/>
        </w:rPr>
      </w:pPr>
      <w:r>
        <w:rPr>
          <w:rFonts w:cs="Calisto MT" w:ascii="Calisto MT" w:hAnsi="Calisto MT"/>
          <w:sz w:val="22"/>
        </w:rPr>
        <w:t>NNW is entitled to certain industrial use water rights appurtenant to the site purchase option agreement.  NNW is in the process of negotiating the acquisition of the balance of its required water rights, and expects that these efforts will yield sufficient water rights to satisfy all the water requirements of Wallula.</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t>2.5 Gas Interconnection Services</w:t>
      </w:r>
    </w:p>
    <w:p>
      <w:pPr>
        <w:pStyle w:val="Header"/>
        <w:tabs>
          <w:tab w:val="clear" w:pos="4320"/>
          <w:tab w:val="clear" w:pos="8640"/>
        </w:tabs>
        <w:jc w:val="both"/>
        <w:rPr>
          <w:rFonts w:ascii="Calisto MT" w:hAnsi="Calisto MT" w:cs="Calisto MT"/>
          <w:sz w:val="22"/>
        </w:rPr>
      </w:pPr>
      <w:r>
        <w:rPr>
          <w:rFonts w:cs="Calisto MT" w:ascii="Calisto MT" w:hAnsi="Calisto MT"/>
          <w:sz w:val="22"/>
        </w:rPr>
        <w:t xml:space="preserve">NNW intends that gas will be supplied through a 5.9-mile 20-inch lateral from the interconnection point at the plant site to the PGT pipeline.    NNW is in discussions with PGT with respect to cost and schedule of implementing such an interconnection and intends for PGT to construct, own, and operate the lateral.  </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t>2.6 Gas Transportation and Supply</w:t>
      </w:r>
    </w:p>
    <w:p>
      <w:pPr>
        <w:pStyle w:val="BodyText3"/>
        <w:rPr/>
      </w:pPr>
      <w:r>
        <w:rPr/>
        <w:t xml:space="preserve">NNW expects that the contractual obligation to procure and transport gas to the Wallula site will be the responsibility of the ultimate contractor for ECS services from Wallula.  In so far as it would be helpful to bidders, NNW is of the opinion that there is a great deal of flexibility to source and transport gas through Stanfield.  For example, Stanfield can be designated as the secondary firm delivery point and the project lateral as the primary firm delivery point for the Kingsgate-Stanfield corridor.  Alternatively, the primary point can be Stanfield and the lateral a secondary delivery point.  The lateral is upstream from Stanfield and curtailment to a secondary delivery point upstream of a constrained primary point (Stanfield) has rarely occurred on the PGT pipeline because delivery has been by displacement on the unidirectional PGT pipeline system.  Access to Stanfield provides significant flexibility to:  </w:t>
      </w:r>
    </w:p>
    <w:p>
      <w:pPr>
        <w:pStyle w:val="Normal"/>
        <w:rPr>
          <w:rFonts w:ascii="Calisto MT" w:hAnsi="Calisto MT" w:cs="Calisto MT"/>
          <w:sz w:val="22"/>
        </w:rPr>
      </w:pPr>
      <w:r>
        <w:rPr>
          <w:rFonts w:cs="Calisto MT" w:ascii="Calisto MT" w:hAnsi="Calisto MT"/>
          <w:sz w:val="22"/>
        </w:rPr>
      </w:r>
    </w:p>
    <w:p>
      <w:pPr>
        <w:pStyle w:val="Normal"/>
        <w:numPr>
          <w:ilvl w:val="0"/>
          <w:numId w:val="6"/>
        </w:numPr>
        <w:tabs>
          <w:tab w:val="clear" w:pos="720"/>
          <w:tab w:val="left" w:pos="1080" w:leader="none"/>
        </w:tabs>
        <w:spacing w:before="0" w:after="120"/>
        <w:ind w:hanging="360" w:start="1080" w:end="0"/>
        <w:jc w:val="both"/>
        <w:rPr>
          <w:rFonts w:ascii="Calisto MT" w:hAnsi="Calisto MT" w:cs="Calisto MT"/>
          <w:sz w:val="22"/>
        </w:rPr>
      </w:pPr>
      <w:r>
        <w:rPr>
          <w:rFonts w:cs="Calisto MT" w:ascii="Calisto MT" w:hAnsi="Calisto MT"/>
          <w:sz w:val="22"/>
        </w:rPr>
        <w:t xml:space="preserve">Source gas at 3 liquid trading hubs, namely Sumas, Opal, and La Plata, in addition to AECO and Malin for:  </w:t>
      </w:r>
    </w:p>
    <w:p>
      <w:pPr>
        <w:pStyle w:val="Normal"/>
        <w:numPr>
          <w:ilvl w:val="1"/>
          <w:numId w:val="6"/>
        </w:numPr>
        <w:tabs>
          <w:tab w:val="clear" w:pos="720"/>
          <w:tab w:val="left" w:pos="1800" w:leader="none"/>
        </w:tabs>
        <w:ind w:hanging="360" w:start="1800" w:end="0"/>
        <w:jc w:val="both"/>
        <w:rPr>
          <w:rFonts w:ascii="Calisto MT" w:hAnsi="Calisto MT" w:cs="Calisto MT"/>
          <w:sz w:val="22"/>
        </w:rPr>
      </w:pPr>
      <w:r>
        <w:rPr>
          <w:rFonts w:cs="Calisto MT" w:ascii="Calisto MT" w:hAnsi="Calisto MT"/>
          <w:sz w:val="22"/>
        </w:rPr>
        <w:t xml:space="preserve">Duct-fired volumes under PGT backhaul contract(s).  </w:t>
      </w:r>
    </w:p>
    <w:p>
      <w:pPr>
        <w:pStyle w:val="Normal"/>
        <w:numPr>
          <w:ilvl w:val="1"/>
          <w:numId w:val="6"/>
        </w:numPr>
        <w:tabs>
          <w:tab w:val="clear" w:pos="720"/>
          <w:tab w:val="left" w:pos="1800" w:leader="none"/>
        </w:tabs>
        <w:ind w:hanging="360" w:start="1800" w:end="0"/>
        <w:jc w:val="both"/>
        <w:rPr>
          <w:rFonts w:ascii="Calisto MT" w:hAnsi="Calisto MT" w:cs="Calisto MT"/>
          <w:sz w:val="22"/>
        </w:rPr>
      </w:pPr>
      <w:r>
        <w:rPr>
          <w:rFonts w:cs="Calisto MT" w:ascii="Calisto MT" w:hAnsi="Calisto MT"/>
          <w:sz w:val="22"/>
        </w:rPr>
        <w:t>Base load volumes by remarketing of PGT’s firm Kingsgate – Stanfield capacity (potential supply mix of 60% Canadian and 40% domestic gas).</w:t>
      </w:r>
    </w:p>
    <w:p>
      <w:pPr>
        <w:pStyle w:val="Normal"/>
        <w:numPr>
          <w:ilvl w:val="0"/>
          <w:numId w:val="6"/>
        </w:numPr>
        <w:tabs>
          <w:tab w:val="clear" w:pos="720"/>
          <w:tab w:val="left" w:pos="1080" w:leader="none"/>
        </w:tabs>
        <w:spacing w:before="120" w:after="120"/>
        <w:ind w:hanging="360" w:start="1080" w:end="0"/>
        <w:jc w:val="both"/>
        <w:rPr>
          <w:rFonts w:ascii="Calisto MT" w:hAnsi="Calisto MT" w:cs="Calisto MT"/>
          <w:sz w:val="22"/>
        </w:rPr>
      </w:pPr>
      <w:r>
        <w:rPr>
          <w:rFonts w:cs="Calisto MT" w:ascii="Calisto MT" w:hAnsi="Calisto MT"/>
          <w:sz w:val="22"/>
        </w:rPr>
        <w:t xml:space="preserve">Capture any stranded gas delivered under:  </w:t>
      </w:r>
    </w:p>
    <w:p>
      <w:pPr>
        <w:pStyle w:val="Normal"/>
        <w:numPr>
          <w:ilvl w:val="1"/>
          <w:numId w:val="6"/>
        </w:numPr>
        <w:tabs>
          <w:tab w:val="clear" w:pos="720"/>
          <w:tab w:val="left" w:pos="1800" w:leader="none"/>
        </w:tabs>
        <w:ind w:hanging="360" w:start="1800" w:end="0"/>
        <w:jc w:val="both"/>
        <w:rPr>
          <w:rFonts w:ascii="Calisto MT" w:hAnsi="Calisto MT" w:cs="Calisto MT"/>
          <w:sz w:val="22"/>
        </w:rPr>
      </w:pPr>
      <w:r>
        <w:rPr>
          <w:rFonts w:cs="Calisto MT" w:ascii="Calisto MT" w:hAnsi="Calisto MT"/>
          <w:sz w:val="22"/>
        </w:rPr>
        <w:t>Existing PITCO expansion of Northwest Pipelines Limited (“NWP”),</w:t>
      </w:r>
    </w:p>
    <w:p>
      <w:pPr>
        <w:pStyle w:val="Normal"/>
        <w:numPr>
          <w:ilvl w:val="1"/>
          <w:numId w:val="6"/>
        </w:numPr>
        <w:tabs>
          <w:tab w:val="clear" w:pos="720"/>
          <w:tab w:val="left" w:pos="1800" w:leader="none"/>
        </w:tabs>
        <w:ind w:hanging="360" w:start="1800" w:end="0"/>
        <w:jc w:val="both"/>
        <w:rPr>
          <w:rFonts w:ascii="Calisto MT" w:hAnsi="Calisto MT" w:cs="Calisto MT"/>
          <w:sz w:val="22"/>
        </w:rPr>
      </w:pPr>
      <w:r>
        <w:rPr>
          <w:rFonts w:cs="Calisto MT" w:ascii="Calisto MT" w:hAnsi="Calisto MT"/>
          <w:sz w:val="22"/>
        </w:rPr>
        <w:t>Shift in constraint of west flowing gas on NWP from Kemmerer to Roosevelt Station in the Columbia Gorge, west of Stanfield.</w:t>
      </w:r>
    </w:p>
    <w:p>
      <w:pPr>
        <w:pStyle w:val="Normal"/>
        <w:numPr>
          <w:ilvl w:val="1"/>
          <w:numId w:val="6"/>
        </w:numPr>
        <w:tabs>
          <w:tab w:val="clear" w:pos="720"/>
          <w:tab w:val="left" w:pos="1800" w:leader="none"/>
        </w:tabs>
        <w:ind w:hanging="360" w:start="1800" w:end="0"/>
        <w:jc w:val="both"/>
        <w:rPr>
          <w:rFonts w:ascii="Calisto MT" w:hAnsi="Calisto MT" w:cs="Calisto MT"/>
          <w:sz w:val="22"/>
        </w:rPr>
      </w:pPr>
      <w:r>
        <w:rPr>
          <w:rFonts w:cs="Calisto MT" w:ascii="Calisto MT" w:hAnsi="Calisto MT"/>
          <w:sz w:val="22"/>
        </w:rPr>
        <w:t xml:space="preserve">Future open season(s) for incremental capacity on NWP from Opal to Stanfield.  </w:t>
      </w:r>
    </w:p>
    <w:p>
      <w:pPr>
        <w:pStyle w:val="Normal"/>
        <w:numPr>
          <w:ilvl w:val="0"/>
          <w:numId w:val="6"/>
        </w:numPr>
        <w:tabs>
          <w:tab w:val="clear" w:pos="720"/>
          <w:tab w:val="left" w:pos="1080" w:leader="none"/>
        </w:tabs>
        <w:spacing w:before="0" w:after="120"/>
        <w:ind w:hanging="360" w:start="1080" w:end="0"/>
        <w:jc w:val="both"/>
        <w:rPr>
          <w:rFonts w:ascii="Calisto MT" w:hAnsi="Calisto MT" w:cs="Calisto MT"/>
          <w:sz w:val="22"/>
        </w:rPr>
      </w:pPr>
      <w:r>
        <w:rPr>
          <w:rFonts w:cs="Calisto MT" w:ascii="Calisto MT" w:hAnsi="Calisto MT"/>
          <w:sz w:val="22"/>
        </w:rPr>
        <w:t>Utilize backhaul capacity and supply displacement to firmly deliver gas from the NWP three trading hubs if gas is attached for delivery against the physical flow of the system;</w:t>
      </w:r>
    </w:p>
    <w:p>
      <w:pPr>
        <w:pStyle w:val="Normal"/>
        <w:numPr>
          <w:ilvl w:val="0"/>
          <w:numId w:val="6"/>
        </w:numPr>
        <w:tabs>
          <w:tab w:val="clear" w:pos="720"/>
          <w:tab w:val="left" w:pos="1080" w:leader="none"/>
        </w:tabs>
        <w:spacing w:before="0" w:after="120"/>
        <w:ind w:hanging="360" w:start="1080" w:end="0"/>
        <w:jc w:val="both"/>
        <w:rPr>
          <w:rFonts w:ascii="Calisto MT" w:hAnsi="Calisto MT" w:cs="Calisto MT"/>
          <w:sz w:val="22"/>
        </w:rPr>
      </w:pPr>
      <w:r>
        <w:rPr>
          <w:rFonts w:cs="Calisto MT" w:ascii="Calisto MT" w:hAnsi="Calisto MT"/>
          <w:sz w:val="22"/>
        </w:rPr>
        <w:t>Access gas storage at Jackson Prairie and Clay Basin, as well as LNG at Plymouth with facilitating shippers; and</w:t>
      </w:r>
    </w:p>
    <w:p>
      <w:pPr>
        <w:pStyle w:val="Normal"/>
        <w:numPr>
          <w:ilvl w:val="0"/>
          <w:numId w:val="6"/>
        </w:numPr>
        <w:tabs>
          <w:tab w:val="clear" w:pos="720"/>
          <w:tab w:val="left" w:pos="1080" w:leader="none"/>
        </w:tabs>
        <w:spacing w:before="0" w:after="120"/>
        <w:ind w:hanging="360" w:start="1080" w:end="0"/>
        <w:jc w:val="both"/>
        <w:rPr>
          <w:rFonts w:ascii="Calisto MT" w:hAnsi="Calisto MT" w:cs="Calisto MT"/>
          <w:sz w:val="22"/>
        </w:rPr>
      </w:pPr>
      <w:r>
        <w:rPr>
          <w:rFonts w:cs="Calisto MT" w:ascii="Calisto MT" w:hAnsi="Calisto MT"/>
          <w:sz w:val="22"/>
        </w:rPr>
        <w:t>Utilize interruptible capacity, especially for duct-fired capacity, on two long</w:t>
        <w:noBreakHyphen/>
        <w:t>haul interstate pipelines (one unidirectional, one bi-directional), generally with non</w:t>
        <w:noBreakHyphen/>
        <w:t>coincident load demand at Stanfield.</w:t>
      </w:r>
    </w:p>
    <w:p>
      <w:pPr>
        <w:pStyle w:val="Normal"/>
        <w:jc w:val="both"/>
        <w:rPr/>
      </w:pPr>
      <w:r>
        <w:rPr/>
        <w:t xml:space="preserve"> </w:t>
      </w:r>
    </w:p>
    <w:p>
      <w:pPr>
        <w:pStyle w:val="Header"/>
        <w:numPr>
          <w:ilvl w:val="0"/>
          <w:numId w:val="5"/>
        </w:numPr>
        <w:tabs>
          <w:tab w:val="clear" w:pos="4320"/>
          <w:tab w:val="clear" w:pos="8640"/>
        </w:tabs>
        <w:jc w:val="both"/>
        <w:rPr>
          <w:rFonts w:ascii="Calisto MT" w:hAnsi="Calisto MT" w:cs="Calisto MT"/>
          <w:b/>
          <w:bCs/>
          <w:smallCaps/>
          <w:sz w:val="22"/>
        </w:rPr>
      </w:pPr>
      <w:r>
        <w:rPr>
          <w:rFonts w:cs="Calisto MT" w:ascii="Calisto MT" w:hAnsi="Calisto MT"/>
          <w:b/>
          <w:bCs/>
          <w:smallCaps/>
          <w:sz w:val="22"/>
        </w:rPr>
        <w:t>Bid Alternatives</w:t>
      </w:r>
    </w:p>
    <w:p>
      <w:pPr>
        <w:pStyle w:val="Header"/>
        <w:tabs>
          <w:tab w:val="clear" w:pos="4320"/>
          <w:tab w:val="clear" w:pos="8640"/>
        </w:tabs>
        <w:jc w:val="both"/>
        <w:rPr>
          <w:rFonts w:ascii="Calisto MT" w:hAnsi="Calisto MT" w:cs="Calisto MT"/>
          <w:b/>
          <w:bCs/>
          <w:smallCaps/>
          <w:sz w:val="22"/>
        </w:rPr>
      </w:pPr>
      <w:r>
        <w:rPr>
          <w:rFonts w:cs="Calisto MT" w:ascii="Calisto MT" w:hAnsi="Calisto MT"/>
          <w:b/>
          <w:bCs/>
          <w:smallCaps/>
          <w:sz w:val="22"/>
        </w:rPr>
      </w:r>
    </w:p>
    <w:p>
      <w:pPr>
        <w:pStyle w:val="Header"/>
        <w:tabs>
          <w:tab w:val="clear" w:pos="4320"/>
          <w:tab w:val="clear" w:pos="8640"/>
        </w:tabs>
        <w:jc w:val="both"/>
        <w:rPr>
          <w:rFonts w:ascii="Calisto MT" w:hAnsi="Calisto MT" w:cs="Calisto MT"/>
          <w:sz w:val="22"/>
        </w:rPr>
      </w:pPr>
      <w:r>
        <w:rPr>
          <w:rFonts w:cs="Calisto MT" w:ascii="Calisto MT" w:hAnsi="Calisto MT"/>
          <w:sz w:val="22"/>
        </w:rPr>
        <w:t xml:space="preserve">NNW believes that both ECS from Wallula and the pipeline capacity offer a great deal of flexibility to maximize gas-on-gas (basis differential) and gas-on-power (spark spread) arbitrage.  There is the potential for substantial value from a fuel supply strategy that involves gas from NWP at Stanfield and future incremental expansion capacity on PGT.  </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sz w:val="22"/>
        </w:rPr>
      </w:pPr>
      <w:r>
        <w:rPr>
          <w:rFonts w:cs="Calisto MT" w:ascii="Calisto MT" w:hAnsi="Calisto MT"/>
          <w:sz w:val="22"/>
        </w:rPr>
        <w:t>NNW expects to maximize value from both ECS from Wallula and the pipeline capacity and, as such, is flexible and will consider all scenarios provided by bidders.  NNW is willing to consider offers that combine the following value elements, offers for individual elements, or bifurcation.  In addition, NNW is flexible and would consider (a) upfront cash payments, (b) periodic payments, on a Dth or other suitable basis, for the term offered, or (c) swap for power generation assets in operations or development that would fit NNW’s portfolio and objectives.  Ultimately, any structure contemplated will have to adhere to and be consistent with (a) all relevant state and federal regulations, including FERC, affecting such a transaction, (b) terms and conditions agreed in the FTSA and FTUCA, and (c) transporter tariff requirements.</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t>3.1 AECO to Malin PGT Pipeline Capacity</w:t>
      </w:r>
    </w:p>
    <w:p>
      <w:pPr>
        <w:pStyle w:val="Header"/>
        <w:tabs>
          <w:tab w:val="clear" w:pos="4320"/>
          <w:tab w:val="clear" w:pos="8640"/>
        </w:tabs>
        <w:jc w:val="both"/>
        <w:rPr>
          <w:rFonts w:ascii="Calisto MT" w:hAnsi="Calisto MT" w:cs="Calisto MT"/>
          <w:sz w:val="22"/>
        </w:rPr>
      </w:pPr>
      <w:r>
        <w:rPr>
          <w:rFonts w:cs="Calisto MT" w:ascii="Calisto MT" w:hAnsi="Calisto MT"/>
          <w:sz w:val="22"/>
        </w:rPr>
        <w:t>NNW would consider entering into an agreement to transfer or assign rights for FTS for the PGT, ANG, and NOVA pipeline capacities (as noted in Section 1.0 above) from November 2002 to October 2004 (“Interim Capacity”).  If you are interested in bidding for this capacity, NNW requests that you submit the following:</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numPr>
          <w:ilvl w:val="0"/>
          <w:numId w:val="7"/>
        </w:numPr>
        <w:tabs>
          <w:tab w:val="clear" w:pos="4320"/>
          <w:tab w:val="clear" w:pos="8640"/>
        </w:tabs>
        <w:spacing w:before="0" w:after="120"/>
        <w:jc w:val="both"/>
        <w:rPr>
          <w:rFonts w:ascii="Calisto MT" w:hAnsi="Calisto MT" w:cs="Calisto MT"/>
          <w:sz w:val="22"/>
        </w:rPr>
      </w:pPr>
      <w:r>
        <w:rPr>
          <w:rFonts w:cs="Calisto MT" w:ascii="Calisto MT" w:hAnsi="Calisto MT"/>
          <w:sz w:val="22"/>
        </w:rPr>
        <w:t xml:space="preserve">Pricing, subject to termsheet in Attachment 4, for the Interim Capacity from November 2002 to the Wallula COD; </w:t>
      </w:r>
    </w:p>
    <w:p>
      <w:pPr>
        <w:pStyle w:val="Header"/>
        <w:numPr>
          <w:ilvl w:val="0"/>
          <w:numId w:val="7"/>
        </w:numPr>
        <w:tabs>
          <w:tab w:val="clear" w:pos="4320"/>
          <w:tab w:val="clear" w:pos="8640"/>
        </w:tabs>
        <w:spacing w:before="0" w:after="120"/>
        <w:jc w:val="both"/>
        <w:rPr>
          <w:rFonts w:ascii="Calisto MT" w:hAnsi="Calisto MT" w:cs="Calisto MT"/>
          <w:sz w:val="22"/>
        </w:rPr>
      </w:pPr>
      <w:r>
        <w:rPr>
          <w:rFonts w:cs="Calisto MT" w:ascii="Calisto MT" w:hAnsi="Calisto MT"/>
          <w:sz w:val="22"/>
        </w:rPr>
        <w:t>Price payable for each month of earlier availability of the Interim Capacity in the event that PGT is able to make it available as early as June 2002.  The adjustment would be due at the time when PGT contractually commits to an earlier availability of the Interim Capacity, and such commitment is effectively transferred or assigned to bidder; and</w:t>
      </w:r>
    </w:p>
    <w:p>
      <w:pPr>
        <w:pStyle w:val="Header"/>
        <w:numPr>
          <w:ilvl w:val="0"/>
          <w:numId w:val="7"/>
        </w:numPr>
        <w:tabs>
          <w:tab w:val="clear" w:pos="4320"/>
          <w:tab w:val="clear" w:pos="8640"/>
        </w:tabs>
        <w:spacing w:before="0" w:after="120"/>
        <w:jc w:val="both"/>
        <w:rPr>
          <w:rFonts w:ascii="Calisto MT" w:hAnsi="Calisto MT" w:cs="Calisto MT"/>
          <w:sz w:val="22"/>
        </w:rPr>
      </w:pPr>
      <w:r>
        <w:rPr>
          <w:rFonts w:cs="Calisto MT" w:ascii="Calisto MT" w:hAnsi="Calisto MT"/>
          <w:sz w:val="22"/>
        </w:rPr>
        <w:t xml:space="preserve">Rebates back to bidder for each month the Interim Capacity is not available in the event that Wallula COD is earlier than expected, up to June 2004. </w:t>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r>
    </w:p>
    <w:p>
      <w:pPr>
        <w:pStyle w:val="Header"/>
        <w:tabs>
          <w:tab w:val="clear" w:pos="4320"/>
          <w:tab w:val="clear" w:pos="8640"/>
        </w:tabs>
        <w:jc w:val="both"/>
        <w:rPr>
          <w:rFonts w:ascii="Calisto MT" w:hAnsi="Calisto MT" w:cs="Calisto MT"/>
          <w:i/>
          <w:i/>
          <w:iCs/>
          <w:sz w:val="22"/>
          <w:u w:val="single"/>
        </w:rPr>
      </w:pPr>
      <w:r>
        <w:rPr>
          <w:rFonts w:cs="Calisto MT" w:ascii="Calisto MT" w:hAnsi="Calisto MT"/>
          <w:i/>
          <w:iCs/>
          <w:sz w:val="22"/>
          <w:u w:val="single"/>
        </w:rPr>
        <w:t>3.2 AECO to Stanfield Pipeline Capacity</w:t>
      </w:r>
    </w:p>
    <w:p>
      <w:pPr>
        <w:pStyle w:val="Normal"/>
        <w:autoSpaceDE w:val="false"/>
        <w:jc w:val="both"/>
        <w:rPr/>
      </w:pPr>
      <w:r>
        <w:rPr/>
        <w:t>NNW would consider entering into an agreement to transfer or assign its right for FTS from AECO to Stanfield (as noted in Section 1.0 above) for a period of not less than 15 years starting from Wallula COD (“AECO/Stanfield Capacity</w:t>
      </w:r>
      <w:r>
        <w:rPr>
          <w:rFonts w:cs="Calisto MT" w:ascii="Calisto MT" w:hAnsi="Calisto MT"/>
          <w:sz w:val="22"/>
        </w:rPr>
        <w:t>”).   If you are interested in bidding for this capacity, NNW requests that you submit the following:</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numPr>
          <w:ilvl w:val="0"/>
          <w:numId w:val="3"/>
        </w:numPr>
        <w:tabs>
          <w:tab w:val="clear" w:pos="4320"/>
          <w:tab w:val="clear" w:pos="8640"/>
          <w:tab w:val="left" w:pos="1440" w:leader="none"/>
        </w:tabs>
        <w:spacing w:before="0" w:after="120"/>
        <w:jc w:val="both"/>
        <w:rPr>
          <w:rFonts w:ascii="Calisto MT" w:hAnsi="Calisto MT" w:cs="Calisto MT"/>
          <w:sz w:val="22"/>
        </w:rPr>
      </w:pPr>
      <w:r>
        <w:rPr>
          <w:rFonts w:cs="Calisto MT" w:ascii="Calisto MT" w:hAnsi="Calisto MT"/>
          <w:sz w:val="22"/>
        </w:rPr>
        <w:t>Pricing, subject to termsheet in Attachment 5, for the AECO/Stanfield Capacity for a term of not less than 15 years starting from Wallula COD; and</w:t>
      </w:r>
    </w:p>
    <w:p>
      <w:pPr>
        <w:pStyle w:val="Header"/>
        <w:numPr>
          <w:ilvl w:val="0"/>
          <w:numId w:val="3"/>
        </w:numPr>
        <w:tabs>
          <w:tab w:val="clear" w:pos="4320"/>
          <w:tab w:val="clear" w:pos="8640"/>
          <w:tab w:val="left" w:pos="1440" w:leader="none"/>
        </w:tabs>
        <w:spacing w:before="0" w:after="120"/>
        <w:jc w:val="both"/>
        <w:rPr>
          <w:rFonts w:ascii="Calisto MT" w:hAnsi="Calisto MT" w:cs="Calisto MT"/>
          <w:sz w:val="22"/>
          <w:u w:val="single"/>
        </w:rPr>
      </w:pPr>
      <w:r>
        <w:rPr>
          <w:rFonts w:cs="Calisto MT" w:ascii="Calisto MT" w:hAnsi="Calisto MT"/>
          <w:sz w:val="22"/>
        </w:rPr>
        <w:t xml:space="preserve">Price payable for each month for earlier availability of the AECO/Stanfield Capacity in the event that Wallula COD is earlier than expected up to June 2004.  </w:t>
      </w:r>
    </w:p>
    <w:p>
      <w:pPr>
        <w:pStyle w:val="Header"/>
        <w:tabs>
          <w:tab w:val="clear" w:pos="4320"/>
          <w:tab w:val="clear" w:pos="8640"/>
          <w:tab w:val="left" w:pos="1440" w:leader="none"/>
        </w:tabs>
        <w:spacing w:before="0" w:after="120"/>
        <w:jc w:val="both"/>
        <w:rPr>
          <w:rFonts w:ascii="Calisto MT" w:hAnsi="Calisto MT" w:cs="Calisto MT"/>
          <w:i/>
          <w:i/>
          <w:iCs/>
          <w:sz w:val="22"/>
          <w:u w:val="single"/>
        </w:rPr>
      </w:pPr>
      <w:r>
        <w:rPr>
          <w:rFonts w:cs="Calisto MT" w:ascii="Calisto MT" w:hAnsi="Calisto MT"/>
          <w:i/>
          <w:iCs/>
          <w:sz w:val="22"/>
          <w:u w:val="single"/>
        </w:rPr>
        <w:t>3.3 Stanfield to Malin Pipeline Capacity</w:t>
      </w:r>
    </w:p>
    <w:p>
      <w:pPr>
        <w:pStyle w:val="Header"/>
        <w:tabs>
          <w:tab w:val="clear" w:pos="4320"/>
          <w:tab w:val="clear" w:pos="8640"/>
        </w:tabs>
        <w:jc w:val="both"/>
        <w:rPr>
          <w:rFonts w:ascii="Calisto MT" w:hAnsi="Calisto MT" w:cs="Calisto MT"/>
          <w:sz w:val="22"/>
        </w:rPr>
      </w:pPr>
      <w:r>
        <w:rPr>
          <w:rFonts w:cs="Calisto MT" w:ascii="Calisto MT" w:hAnsi="Calisto MT"/>
          <w:sz w:val="22"/>
        </w:rPr>
        <w:t>NNW would consider entering into an agreement to transfer or assign its rights for FTS from Stanfield to Malin (as noted in Section 1.0 above) for a period of not less than 15 years starting from the Wallula COD  (“Stanfield/Malin Capacity”).  If you are interested in bidding for this capacity, NNW requests that you submit the following:</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numPr>
          <w:ilvl w:val="0"/>
          <w:numId w:val="9"/>
        </w:numPr>
        <w:tabs>
          <w:tab w:val="clear" w:pos="4320"/>
          <w:tab w:val="clear" w:pos="8640"/>
        </w:tabs>
        <w:spacing w:before="0" w:after="120"/>
        <w:jc w:val="both"/>
        <w:rPr>
          <w:rFonts w:ascii="Calisto MT" w:hAnsi="Calisto MT" w:cs="Calisto MT"/>
          <w:sz w:val="22"/>
        </w:rPr>
      </w:pPr>
      <w:r>
        <w:rPr>
          <w:rFonts w:cs="Calisto MT" w:ascii="Calisto MT" w:hAnsi="Calisto MT"/>
          <w:sz w:val="22"/>
        </w:rPr>
        <w:t>Pricing, subject to termsheet in Attachment 6, for the Stanfield/Malin Capacity for a term of not less than 15 years starting from Wallula COD; and</w:t>
      </w:r>
    </w:p>
    <w:p>
      <w:pPr>
        <w:pStyle w:val="Header"/>
        <w:numPr>
          <w:ilvl w:val="0"/>
          <w:numId w:val="9"/>
        </w:numPr>
        <w:tabs>
          <w:tab w:val="clear" w:pos="4320"/>
          <w:tab w:val="clear" w:pos="8640"/>
          <w:tab w:val="left" w:pos="1440" w:leader="none"/>
        </w:tabs>
        <w:spacing w:before="0" w:after="120"/>
        <w:jc w:val="both"/>
        <w:rPr>
          <w:rFonts w:ascii="Calisto MT" w:hAnsi="Calisto MT" w:cs="Calisto MT"/>
          <w:sz w:val="22"/>
          <w:u w:val="single"/>
        </w:rPr>
      </w:pPr>
      <w:r>
        <w:rPr>
          <w:rFonts w:cs="Calisto MT" w:ascii="Calisto MT" w:hAnsi="Calisto MT"/>
          <w:sz w:val="22"/>
        </w:rPr>
        <w:t>Price payable for each month for earlier availability of the Stanfield/Malin Capacity in the event that Wallula COD is earlier than expected, up to June 2004.</w:t>
      </w:r>
    </w:p>
    <w:p>
      <w:pPr>
        <w:pStyle w:val="Header"/>
        <w:tabs>
          <w:tab w:val="clear" w:pos="4320"/>
          <w:tab w:val="clear" w:pos="8640"/>
        </w:tabs>
        <w:spacing w:before="0" w:after="120"/>
        <w:jc w:val="both"/>
        <w:rPr>
          <w:rFonts w:ascii="Calisto MT" w:hAnsi="Calisto MT" w:cs="Calisto MT"/>
          <w:i/>
          <w:i/>
          <w:iCs/>
          <w:sz w:val="22"/>
          <w:u w:val="single"/>
        </w:rPr>
      </w:pPr>
      <w:r>
        <w:rPr>
          <w:rFonts w:cs="Calisto MT" w:ascii="Calisto MT" w:hAnsi="Calisto MT"/>
          <w:i/>
          <w:iCs/>
          <w:sz w:val="22"/>
          <w:u w:val="single"/>
        </w:rPr>
        <w:t>3.4 Energy Conversion Services</w:t>
      </w:r>
    </w:p>
    <w:p>
      <w:pPr>
        <w:pStyle w:val="Header"/>
        <w:tabs>
          <w:tab w:val="clear" w:pos="4320"/>
          <w:tab w:val="clear" w:pos="8640"/>
        </w:tabs>
        <w:jc w:val="both"/>
        <w:rPr>
          <w:rFonts w:ascii="Calisto MT" w:hAnsi="Calisto MT" w:cs="Calisto MT"/>
          <w:sz w:val="22"/>
        </w:rPr>
      </w:pPr>
      <w:r>
        <w:rPr>
          <w:rFonts w:cs="Calisto MT" w:ascii="Calisto MT" w:hAnsi="Calisto MT"/>
          <w:sz w:val="22"/>
        </w:rPr>
        <w:t>NNW would consider entering into an agreement for ECS from Wallula for a term effective from the Wallula COD for a period of 10-20 years.  Furthermore, NNW would consider bids for blocks of 2x1 (650 MW) on the premise that such bids could be combined in a physical/financial toller arrangement.  If you are interest in bidding for such services, NNW requests that you submit the following:</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numPr>
          <w:ilvl w:val="0"/>
          <w:numId w:val="2"/>
        </w:numPr>
        <w:tabs>
          <w:tab w:val="clear" w:pos="4320"/>
          <w:tab w:val="clear" w:pos="8640"/>
          <w:tab w:val="left" w:pos="1440" w:leader="none"/>
        </w:tabs>
        <w:spacing w:before="0" w:after="120"/>
        <w:ind w:hanging="720" w:start="1440" w:end="0"/>
        <w:jc w:val="both"/>
        <w:rPr>
          <w:rFonts w:ascii="Calisto MT" w:hAnsi="Calisto MT" w:cs="Calisto MT"/>
          <w:sz w:val="22"/>
        </w:rPr>
      </w:pPr>
      <w:r>
        <w:rPr>
          <w:rFonts w:cs="Calisto MT" w:ascii="Calisto MT" w:hAnsi="Calisto MT"/>
          <w:sz w:val="22"/>
        </w:rPr>
        <w:t>Indication of interest in the number of 2x1 blocks (up to 2);</w:t>
      </w:r>
    </w:p>
    <w:p>
      <w:pPr>
        <w:pStyle w:val="Header"/>
        <w:numPr>
          <w:ilvl w:val="0"/>
          <w:numId w:val="2"/>
        </w:numPr>
        <w:tabs>
          <w:tab w:val="clear" w:pos="4320"/>
          <w:tab w:val="clear" w:pos="8640"/>
          <w:tab w:val="left" w:pos="1440" w:leader="none"/>
        </w:tabs>
        <w:spacing w:before="0" w:after="120"/>
        <w:ind w:hanging="720" w:start="1440" w:end="0"/>
        <w:jc w:val="both"/>
        <w:rPr>
          <w:rFonts w:ascii="Calisto MT" w:hAnsi="Calisto MT" w:cs="Calisto MT"/>
          <w:sz w:val="22"/>
        </w:rPr>
      </w:pPr>
      <w:r>
        <w:rPr>
          <w:rFonts w:cs="Calisto MT" w:ascii="Calisto MT" w:hAnsi="Calisto MT"/>
          <w:sz w:val="22"/>
        </w:rPr>
        <w:t xml:space="preserve">Restrictions on financial and/or physical tolling arrangements; </w:t>
      </w:r>
    </w:p>
    <w:p>
      <w:pPr>
        <w:pStyle w:val="Header"/>
        <w:numPr>
          <w:ilvl w:val="0"/>
          <w:numId w:val="2"/>
        </w:numPr>
        <w:tabs>
          <w:tab w:val="clear" w:pos="4320"/>
          <w:tab w:val="clear" w:pos="8640"/>
          <w:tab w:val="left" w:pos="1440" w:leader="none"/>
        </w:tabs>
        <w:spacing w:before="0" w:after="120"/>
        <w:ind w:hanging="720" w:start="1440" w:end="0"/>
        <w:jc w:val="both"/>
        <w:rPr>
          <w:rFonts w:ascii="Calisto MT" w:hAnsi="Calisto MT" w:cs="Calisto MT"/>
          <w:sz w:val="22"/>
        </w:rPr>
      </w:pPr>
      <w:r>
        <w:rPr>
          <w:rFonts w:cs="Calisto MT" w:ascii="Calisto MT" w:hAnsi="Calisto MT"/>
          <w:sz w:val="22"/>
        </w:rPr>
        <w:t>Indication of interest in either or both options for firm transmission service discussed in Section 2.3 above.  As mentioned before, NNW expects that bidders for ECS will be responsible for securing and contracting for transmission service for the off-take of the plant.  If bidders so elect, NNW will assign either of its right under the firm transmission service requests submitted to BPA upon signature of an agreement for ECS; and</w:t>
      </w:r>
    </w:p>
    <w:p>
      <w:pPr>
        <w:pStyle w:val="Header"/>
        <w:numPr>
          <w:ilvl w:val="0"/>
          <w:numId w:val="2"/>
        </w:numPr>
        <w:tabs>
          <w:tab w:val="clear" w:pos="4320"/>
          <w:tab w:val="clear" w:pos="8640"/>
          <w:tab w:val="left" w:pos="1440" w:leader="none"/>
        </w:tabs>
        <w:spacing w:before="0" w:after="120"/>
        <w:ind w:hanging="720" w:start="1440" w:end="0"/>
        <w:jc w:val="both"/>
        <w:rPr>
          <w:rFonts w:ascii="Calisto MT" w:hAnsi="Calisto MT" w:cs="Calisto MT"/>
          <w:sz w:val="22"/>
        </w:rPr>
      </w:pPr>
      <w:r>
        <w:rPr>
          <w:rFonts w:cs="Calisto MT" w:ascii="Calisto MT" w:hAnsi="Calisto MT"/>
          <w:sz w:val="22"/>
        </w:rPr>
        <w:t>Figures/prices, subject to termsheet in Attachment 7, for ECS for 10, 15, and 20-year terms inclusive.</w:t>
      </w:r>
    </w:p>
    <w:p>
      <w:pPr>
        <w:pStyle w:val="Header"/>
        <w:tabs>
          <w:tab w:val="clear" w:pos="4320"/>
          <w:tab w:val="clear" w:pos="8640"/>
        </w:tabs>
        <w:jc w:val="both"/>
        <w:rPr>
          <w:rFonts w:ascii="Calisto MT" w:hAnsi="Calisto MT" w:cs="Calisto MT"/>
          <w:sz w:val="22"/>
        </w:rPr>
      </w:pPr>
      <w:r>
        <w:rPr>
          <w:rFonts w:cs="Calisto MT" w:ascii="Calisto MT" w:hAnsi="Calisto MT"/>
          <w:sz w:val="22"/>
        </w:rPr>
      </w:r>
    </w:p>
    <w:p>
      <w:pPr>
        <w:pStyle w:val="Header"/>
        <w:tabs>
          <w:tab w:val="clear" w:pos="4320"/>
          <w:tab w:val="clear" w:pos="8640"/>
        </w:tabs>
        <w:spacing w:before="0" w:after="120"/>
        <w:jc w:val="both"/>
        <w:rPr>
          <w:rFonts w:ascii="Calisto MT" w:hAnsi="Calisto MT" w:cs="Calisto MT"/>
          <w:sz w:val="22"/>
        </w:rPr>
      </w:pPr>
      <w:r>
        <w:rPr>
          <w:rFonts w:cs="Calisto MT" w:ascii="Calisto MT" w:hAnsi="Calisto MT"/>
          <w:b/>
          <w:bCs/>
          <w:sz w:val="22"/>
          <w:u w:val="single"/>
        </w:rPr>
        <w:t>Proposals are due not later than 5:00 pm (PST) Wednesday, April 12</w:t>
      </w:r>
      <w:r>
        <w:rPr>
          <w:rFonts w:cs="Calisto MT" w:ascii="Calisto MT" w:hAnsi="Calisto MT"/>
          <w:b/>
          <w:bCs/>
          <w:sz w:val="22"/>
          <w:u w:val="single"/>
          <w:vertAlign w:val="superscript"/>
        </w:rPr>
        <w:t>th</w:t>
      </w:r>
      <w:r>
        <w:rPr>
          <w:rFonts w:cs="Calisto MT" w:ascii="Calisto MT" w:hAnsi="Calisto MT"/>
          <w:b/>
          <w:bCs/>
          <w:sz w:val="22"/>
          <w:u w:val="single"/>
        </w:rPr>
        <w:t>, 2001.  NNW reserves the right to award contracts to the bidder(s) of its choice, which may not necessarily be the highest bidder.   NNW reserves the right to award bids for one or more of the aforementioned alternatives to one or more bidders.  Furthermore, NNW reserves the right not to enter into any ECS or pipeline assignment transfer agreements as a result of this request for proposal.</w:t>
      </w:r>
    </w:p>
    <w:p>
      <w:pPr>
        <w:pStyle w:val="Header"/>
        <w:tabs>
          <w:tab w:val="clear" w:pos="4320"/>
          <w:tab w:val="clear" w:pos="8640"/>
        </w:tabs>
        <w:spacing w:before="0" w:after="120"/>
        <w:jc w:val="both"/>
        <w:rPr/>
      </w:pPr>
      <w:r>
        <w:rPr>
          <w:rFonts w:cs="Calisto MT" w:ascii="Calisto MT" w:hAnsi="Calisto MT"/>
          <w:sz w:val="22"/>
        </w:rPr>
        <w:t xml:space="preserve">For more information on Newport Generation and its current project portfolio, please go to our web site at </w:t>
      </w:r>
      <w:hyperlink r:id="rId3">
        <w:r>
          <w:rPr>
            <w:rStyle w:val="Hyperlink"/>
            <w:rFonts w:cs="Calisto MT" w:ascii="Calisto MT" w:hAnsi="Calisto MT"/>
            <w:sz w:val="22"/>
          </w:rPr>
          <w:t>www.newportgen.com</w:t>
        </w:r>
      </w:hyperlink>
      <w:r>
        <w:rPr>
          <w:rFonts w:cs="Calisto MT" w:ascii="Calisto MT" w:hAnsi="Calisto MT"/>
          <w:sz w:val="22"/>
        </w:rPr>
        <w:t>.  If you have any questions, please do not hesitate to contact me.</w:t>
      </w:r>
    </w:p>
    <w:p>
      <w:pPr>
        <w:pStyle w:val="Header"/>
        <w:tabs>
          <w:tab w:val="clear" w:pos="4320"/>
          <w:tab w:val="clear" w:pos="8640"/>
        </w:tabs>
        <w:spacing w:before="0" w:after="120"/>
        <w:jc w:val="both"/>
        <w:rPr>
          <w:rFonts w:ascii="Calisto MT" w:hAnsi="Calisto MT" w:cs="Calisto MT"/>
          <w:sz w:val="22"/>
        </w:rPr>
      </w:pPr>
      <w:r>
        <w:rPr>
          <w:rFonts w:cs="Calisto MT" w:ascii="Calisto MT" w:hAnsi="Calisto MT"/>
          <w:sz w:val="22"/>
        </w:rPr>
      </w:r>
    </w:p>
    <w:p>
      <w:pPr>
        <w:pStyle w:val="Header"/>
        <w:tabs>
          <w:tab w:val="clear" w:pos="4320"/>
          <w:tab w:val="clear" w:pos="8640"/>
        </w:tabs>
        <w:spacing w:before="0" w:after="120"/>
        <w:jc w:val="both"/>
        <w:rPr>
          <w:rFonts w:ascii="Calisto MT" w:hAnsi="Calisto MT" w:cs="Calisto MT"/>
          <w:sz w:val="22"/>
        </w:rPr>
      </w:pPr>
      <w:r>
        <w:rPr>
          <w:rFonts w:cs="Calisto MT" w:ascii="Calisto MT" w:hAnsi="Calisto MT"/>
          <w:sz w:val="22"/>
        </w:rPr>
      </w:r>
    </w:p>
    <w:p>
      <w:pPr>
        <w:pStyle w:val="Header"/>
        <w:tabs>
          <w:tab w:val="clear" w:pos="4320"/>
          <w:tab w:val="clear" w:pos="8640"/>
        </w:tabs>
        <w:spacing w:before="0" w:after="120"/>
        <w:jc w:val="both"/>
        <w:rPr>
          <w:rFonts w:ascii="Calisto MT" w:hAnsi="Calisto MT" w:cs="Calisto MT"/>
          <w:sz w:val="22"/>
        </w:rPr>
      </w:pPr>
      <w:r>
        <w:rPr>
          <w:rFonts w:cs="Calisto MT" w:ascii="Calisto MT" w:hAnsi="Calisto MT"/>
          <w:sz w:val="22"/>
        </w:rPr>
        <w:t>Sincerely,</w:t>
      </w:r>
    </w:p>
    <w:p>
      <w:pPr>
        <w:pStyle w:val="Header"/>
        <w:tabs>
          <w:tab w:val="clear" w:pos="4320"/>
          <w:tab w:val="clear" w:pos="8640"/>
        </w:tabs>
        <w:spacing w:before="0" w:after="120"/>
        <w:jc w:val="both"/>
        <w:rPr>
          <w:rFonts w:ascii="Calisto MT" w:hAnsi="Calisto MT" w:cs="Calisto MT"/>
          <w:sz w:val="22"/>
        </w:rPr>
      </w:pPr>
      <w:r>
        <w:rPr>
          <w:rFonts w:cs="Calisto MT" w:ascii="Calisto MT" w:hAnsi="Calisto MT"/>
          <w:sz w:val="22"/>
        </w:rPr>
      </w:r>
    </w:p>
    <w:p>
      <w:pPr>
        <w:pStyle w:val="Header"/>
        <w:tabs>
          <w:tab w:val="clear" w:pos="4320"/>
          <w:tab w:val="clear" w:pos="8640"/>
        </w:tabs>
        <w:spacing w:before="0" w:after="120"/>
        <w:jc w:val="both"/>
        <w:rPr>
          <w:rFonts w:ascii="Calisto MT" w:hAnsi="Calisto MT" w:cs="Calisto MT"/>
          <w:sz w:val="22"/>
        </w:rPr>
      </w:pPr>
      <w:r>
        <w:rPr>
          <w:rFonts w:cs="Calisto MT" w:ascii="Calisto MT" w:hAnsi="Calisto MT"/>
          <w:sz w:val="22"/>
        </w:rPr>
      </w:r>
    </w:p>
    <w:p>
      <w:pPr>
        <w:pStyle w:val="Header"/>
        <w:tabs>
          <w:tab w:val="clear" w:pos="4320"/>
          <w:tab w:val="clear" w:pos="8640"/>
        </w:tabs>
        <w:jc w:val="both"/>
        <w:rPr>
          <w:rFonts w:ascii="Calisto MT" w:hAnsi="Calisto MT" w:cs="Calisto MT"/>
          <w:sz w:val="22"/>
        </w:rPr>
      </w:pPr>
      <w:r>
        <w:rPr>
          <w:rFonts w:cs="Calisto MT" w:ascii="Calisto MT" w:hAnsi="Calisto MT"/>
          <w:sz w:val="22"/>
        </w:rPr>
        <w:t>Sameh I. Mobarek</w:t>
      </w:r>
    </w:p>
    <w:p>
      <w:pPr>
        <w:pStyle w:val="Header"/>
        <w:tabs>
          <w:tab w:val="clear" w:pos="4320"/>
          <w:tab w:val="clear" w:pos="8640"/>
        </w:tabs>
        <w:jc w:val="both"/>
        <w:rPr>
          <w:rFonts w:ascii="Calisto MT" w:hAnsi="Calisto MT" w:cs="Calisto MT"/>
          <w:sz w:val="22"/>
        </w:rPr>
      </w:pPr>
      <w:r>
        <w:rPr>
          <w:rFonts w:cs="Calisto MT" w:ascii="Calisto MT" w:hAnsi="Calisto MT"/>
          <w:sz w:val="22"/>
        </w:rPr>
        <w:t>Director</w:t>
      </w:r>
    </w:p>
    <w:p>
      <w:pPr>
        <w:pStyle w:val="Header"/>
        <w:tabs>
          <w:tab w:val="clear" w:pos="4320"/>
          <w:tab w:val="clear" w:pos="8640"/>
        </w:tabs>
        <w:jc w:val="both"/>
        <w:rPr>
          <w:rFonts w:ascii="Calisto MT" w:hAnsi="Calisto MT" w:cs="Calisto MT"/>
          <w:sz w:val="22"/>
        </w:rPr>
      </w:pPr>
      <w:r>
        <w:rPr>
          <w:rFonts w:cs="Calisto MT" w:ascii="Calisto MT" w:hAnsi="Calisto MT"/>
          <w:sz w:val="22"/>
        </w:rPr>
        <w:t>Structuring &amp; Commercial Development</w:t>
      </w:r>
    </w:p>
    <w:sectPr>
      <w:headerReference w:type="default" r:id="rId4"/>
      <w:headerReference w:type="first" r:id="rId5"/>
      <w:footerReference w:type="default" r:id="rId6"/>
      <w:footerReference w:type="first" r:id="rId7"/>
      <w:type w:val="nextPage"/>
      <w:pgSz w:w="12240" w:h="15840"/>
      <w:pgMar w:left="1800" w:right="1800" w:gutter="0" w:header="720" w:top="1973" w:footer="66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WP TypographicSymbols">
    <w:altName w:val="Symbol"/>
    <w:charset w:val="02"/>
    <w:family w:val="auto"/>
    <w:pitch w:val="variable"/>
  </w:font>
  <w:font w:name="Andale Mono">
    <w:charset w:val="00" w:characterSet="windows-1252"/>
    <w:family w:val="modern"/>
    <w:pitch w:val="default"/>
  </w:font>
  <w:font w:name="Liberation Sans">
    <w:altName w:val="Arial"/>
    <w:charset w:val="01" w:characterSet="utf-8"/>
    <w:family w:val="swiss"/>
    <w:pitch w:val="variable"/>
  </w:font>
  <w:font w:name="Calisto MT">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color w:val="333399"/>
        <w:sz w:val="16"/>
      </w:rPr>
    </w:pPr>
    <w:r>
      <mc:AlternateContent>
        <mc:Choice Requires="wps">
          <w:drawing>
            <wp:anchor behindDoc="1" distT="0" distB="0" distL="114935" distR="114935" simplePos="0" locked="0" layoutInCell="1" allowOverlap="1" relativeHeight="7">
              <wp:simplePos x="0" y="0"/>
              <wp:positionH relativeFrom="column">
                <wp:posOffset>-342900</wp:posOffset>
              </wp:positionH>
              <wp:positionV relativeFrom="paragraph">
                <wp:posOffset>-68580</wp:posOffset>
              </wp:positionV>
              <wp:extent cx="6400800" cy="0"/>
              <wp:effectExtent l="0" t="5080" r="0" b="5080"/>
              <wp:wrapNone/>
              <wp:docPr id="7" name=""/>
              <a:graphic xmlns:a="http://schemas.openxmlformats.org/drawingml/2006/main">
                <a:graphicData uri="http://schemas.microsoft.com/office/word/2010/wordprocessingShape">
                  <wps:wsp>
                    <wps:cNvSpPr/>
                    <wps:spPr>
                      <a:xfrm>
                        <a:off x="0" y="0"/>
                        <a:ext cx="6400800" cy="0"/>
                      </a:xfrm>
                      <a:prstGeom prst="line">
                        <a:avLst/>
                      </a:prstGeom>
                      <a:ln w="9360">
                        <a:solidFill>
                          <a:srgbClr val="f36e3f"/>
                        </a:solidFill>
                        <a:miter/>
                      </a:ln>
                    </wps:spPr>
                    <wps:style>
                      <a:lnRef idx="0"/>
                      <a:fillRef idx="0"/>
                      <a:effectRef idx="0"/>
                      <a:fontRef idx="minor"/>
                    </wps:style>
                    <wps:bodyPr/>
                  </wps:wsp>
                </a:graphicData>
              </a:graphic>
            </wp:anchor>
          </w:drawing>
        </mc:Choice>
        <mc:Fallback>
          <w:pict>
            <v:line id="shape_0" from="-27pt,-5.4pt" to="476.95pt,-5.4pt" stroked="t" o:allowincell="f" style="position:absolute">
              <v:stroke color="#f36e3f" weight="9360" joinstyle="miter" endcap="flat"/>
              <v:fill o:detectmouseclick="t" on="false"/>
              <w10:wrap type="none"/>
            </v:line>
          </w:pict>
        </mc:Fallback>
      </mc:AlternateContent>
    </w:r>
    <w:r>
      <w:rPr>
        <w:color w:val="333399"/>
        <w:sz w:val="16"/>
      </w:rPr>
      <w:t>4 Park Plaza,  Suite 450,  Irvine,  CA 92614</w:t>
    </w:r>
  </w:p>
  <w:p>
    <w:pPr>
      <w:pStyle w:val="Heading3"/>
      <w:spacing w:before="0" w:after="240"/>
      <w:ind w:hanging="0" w:start="0"/>
      <w:rPr>
        <w:color w:val="333399"/>
        <w:sz w:val="16"/>
      </w:rPr>
    </w:pPr>
    <w:r>
      <w:rPr>
        <w:color w:val="333399"/>
        <w:sz w:val="16"/>
      </w:rPr>
      <w:t>Main (949) 475-9570  ●  Fax (949) 475-9576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alisto MT" w:hAnsi="Calisto MT" w:cs="Calisto MT"/>
        <w:b/>
        <w:bCs/>
        <w:sz w:val="18"/>
      </w:rPr>
    </w:pPr>
    <w:r>
      <w:rPr>
        <w:rFonts w:cs="Calisto MT" w:ascii="Calisto MT" w:hAnsi="Calisto MT"/>
        <w:b/>
        <w:bCs/>
        <w:sz w:val="18"/>
      </w:rPr>
      <w:t>Mr.[]</w:t>
    </w:r>
  </w:p>
  <w:p>
    <w:pPr>
      <w:pStyle w:val="Header"/>
      <w:rPr>
        <w:rFonts w:ascii="Calisto MT" w:hAnsi="Calisto MT" w:cs="Calisto MT"/>
        <w:b/>
        <w:bCs/>
        <w:sz w:val="18"/>
      </w:rPr>
    </w:pPr>
    <w:r>
      <w:rPr>
        <w:rFonts w:cs="Calisto MT" w:ascii="Calisto MT" w:hAnsi="Calisto MT"/>
        <w:b/>
        <w:bCs/>
        <w:sz w:val="18"/>
      </w:rPr>
      <w:fldChar w:fldCharType="begin"/>
    </w:r>
    <w:r>
      <w:rPr>
        <w:sz w:val="18"/>
        <w:b/>
        <w:bCs/>
        <w:rFonts w:cs="Calisto MT" w:ascii="Calisto MT" w:hAnsi="Calisto MT"/>
      </w:rPr>
      <w:instrText xml:space="preserve"> DATE \@"M\/d\/yyyy" </w:instrText>
    </w:r>
    <w:r>
      <w:rPr>
        <w:sz w:val="18"/>
        <w:b/>
        <w:bCs/>
        <w:rFonts w:cs="Calisto MT" w:ascii="Calisto MT" w:hAnsi="Calisto MT"/>
      </w:rPr>
      <w:fldChar w:fldCharType="separate"/>
    </w:r>
    <w:r>
      <w:rPr>
        <w:sz w:val="18"/>
        <w:b/>
        <w:bCs/>
        <w:rFonts w:cs="Calisto MT" w:ascii="Calisto MT" w:hAnsi="Calisto MT"/>
      </w:rPr>
      <w:t>9/28/2025</w:t>
    </w:r>
    <w:r>
      <w:rPr>
        <w:sz w:val="18"/>
        <w:b/>
        <w:bCs/>
        <w:rFonts w:cs="Calisto MT" w:ascii="Calisto MT" w:hAnsi="Calisto MT"/>
      </w:rPr>
      <w:fldChar w:fldCharType="end"/>
    </w:r>
  </w:p>
  <w:p>
    <w:pPr>
      <w:pStyle w:val="Header"/>
      <w:rPr/>
    </w:pPr>
    <w:r>
      <w:rPr>
        <w:rFonts w:cs="Calisto MT" w:ascii="Calisto MT" w:hAnsi="Calisto MT"/>
        <w:b/>
        <w:bCs/>
        <w:sz w:val="18"/>
      </w:rPr>
      <w:t xml:space="preserve">Page </w:t>
    </w:r>
    <w:r>
      <w:rPr>
        <w:rFonts w:cs="Calisto MT" w:ascii="Calisto MT" w:hAnsi="Calisto MT"/>
        <w:b/>
        <w:bCs/>
        <w:sz w:val="18"/>
      </w:rPr>
      <w:fldChar w:fldCharType="begin"/>
    </w:r>
    <w:r>
      <w:rPr>
        <w:sz w:val="18"/>
        <w:b/>
        <w:bCs/>
        <w:rFonts w:cs="Calisto MT" w:ascii="Calisto MT" w:hAnsi="Calisto MT"/>
      </w:rPr>
      <w:instrText xml:space="preserve"> PAGE </w:instrText>
    </w:r>
    <w:r>
      <w:rPr>
        <w:sz w:val="18"/>
        <w:b/>
        <w:bCs/>
        <w:rFonts w:cs="Calisto MT" w:ascii="Calisto MT" w:hAnsi="Calisto MT"/>
      </w:rPr>
      <w:fldChar w:fldCharType="separate"/>
    </w:r>
    <w:r>
      <w:rPr>
        <w:sz w:val="18"/>
        <w:b/>
        <w:bCs/>
        <w:rFonts w:cs="Calisto MT" w:ascii="Calisto MT" w:hAnsi="Calisto MT"/>
      </w:rPr>
      <w:t>7</w:t>
    </w:r>
    <w:r>
      <w:rPr>
        <w:sz w:val="18"/>
        <w:b/>
        <w:bCs/>
        <w:rFonts w:cs="Calisto MT" w:ascii="Calisto MT" w:hAnsi="Calisto MT"/>
      </w:rPr>
      <w:fldChar w:fldCharType="end"/>
    </w:r>
    <w:r>
      <w:rPr>
        <w:rFonts w:cs="Calisto MT" w:ascii="Calisto MT" w:hAnsi="Calisto MT"/>
        <w:b/>
        <w:bCs/>
        <w:sz w:val="18"/>
      </w:rPr>
      <w:t xml:space="preserve"> of </w:t>
    </w:r>
    <w:r>
      <w:rPr>
        <w:rFonts w:cs="Calisto MT" w:ascii="Calisto MT" w:hAnsi="Calisto MT"/>
        <w:b/>
        <w:bCs/>
        <w:sz w:val="18"/>
      </w:rPr>
      <w:fldChar w:fldCharType="begin"/>
    </w:r>
    <w:r>
      <w:rPr>
        <w:sz w:val="18"/>
        <w:b/>
        <w:bCs/>
        <w:rFonts w:cs="Calisto MT" w:ascii="Calisto MT" w:hAnsi="Calisto MT"/>
      </w:rPr>
      <w:instrText xml:space="preserve"> NUMPAGES \* ARABIC </w:instrText>
    </w:r>
    <w:r>
      <w:rPr>
        <w:sz w:val="18"/>
        <w:b/>
        <w:bCs/>
        <w:rFonts w:cs="Calisto MT" w:ascii="Calisto MT" w:hAnsi="Calisto MT"/>
      </w:rPr>
      <w:fldChar w:fldCharType="separate"/>
    </w:r>
    <w:r>
      <w:rPr>
        <w:sz w:val="18"/>
        <w:b/>
        <w:bCs/>
        <w:rFonts w:cs="Calisto MT" w:ascii="Calisto MT" w:hAnsi="Calisto MT"/>
      </w:rPr>
      <w:t>7</w:t>
    </w:r>
    <w:r>
      <w:rPr>
        <w:sz w:val="18"/>
        <w:b/>
        <w:bCs/>
        <w:rFonts w:cs="Calisto MT" w:ascii="Calisto MT" w:hAnsi="Calisto MT"/>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pPr>
    <w:r>
      <w:rPr/>
      <mc:AlternateContent>
        <mc:Choice Requires="wps">
          <w:drawing>
            <wp:anchor behindDoc="1" distT="0" distB="0" distL="114935" distR="114935" simplePos="0" locked="0" layoutInCell="1" allowOverlap="1" relativeHeight="5">
              <wp:simplePos x="0" y="0"/>
              <wp:positionH relativeFrom="column">
                <wp:posOffset>-685800</wp:posOffset>
              </wp:positionH>
              <wp:positionV relativeFrom="paragraph">
                <wp:posOffset>914400</wp:posOffset>
              </wp:positionV>
              <wp:extent cx="2171700" cy="0"/>
              <wp:effectExtent l="0" t="38100" r="0" b="38100"/>
              <wp:wrapNone/>
              <wp:docPr id="3" name=""/>
              <a:graphic xmlns:a="http://schemas.openxmlformats.org/drawingml/2006/main">
                <a:graphicData uri="http://schemas.microsoft.com/office/word/2010/wordprocessingShape">
                  <wps:wsp>
                    <wps:cNvSpPr/>
                    <wps:spPr>
                      <a:xfrm>
                        <a:off x="0" y="0"/>
                        <a:ext cx="2171880" cy="0"/>
                      </a:xfrm>
                      <a:prstGeom prst="line">
                        <a:avLst/>
                      </a:prstGeom>
                      <a:ln w="76320">
                        <a:solidFill>
                          <a:srgbClr val="ffffff"/>
                        </a:solidFill>
                        <a:miter/>
                      </a:ln>
                    </wps:spPr>
                    <wps:style>
                      <a:lnRef idx="0"/>
                      <a:fillRef idx="0"/>
                      <a:effectRef idx="0"/>
                      <a:fontRef idx="minor"/>
                    </wps:style>
                    <wps:bodyPr/>
                  </wps:wsp>
                </a:graphicData>
              </a:graphic>
            </wp:anchor>
          </w:drawing>
        </mc:Choice>
        <mc:Fallback>
          <w:pict>
            <v:line id="shape_0" from="-54pt,72pt" to="116.95pt,72pt" stroked="t" o:allowincell="f" style="position:absolute">
              <v:stroke color="white" weight="7632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
              <wp:simplePos x="0" y="0"/>
              <wp:positionH relativeFrom="column">
                <wp:posOffset>-457200</wp:posOffset>
              </wp:positionH>
              <wp:positionV relativeFrom="paragraph">
                <wp:posOffset>795020</wp:posOffset>
              </wp:positionV>
              <wp:extent cx="5943600" cy="0"/>
              <wp:effectExtent l="0" t="5080" r="0" b="5080"/>
              <wp:wrapNone/>
              <wp:docPr id="4" name=""/>
              <a:graphic xmlns:a="http://schemas.openxmlformats.org/drawingml/2006/main">
                <a:graphicData uri="http://schemas.microsoft.com/office/word/2010/wordprocessingShape">
                  <wps:wsp>
                    <wps:cNvSpPr/>
                    <wps:spPr>
                      <a:xfrm>
                        <a:off x="0" y="0"/>
                        <a:ext cx="5943600" cy="0"/>
                      </a:xfrm>
                      <a:prstGeom prst="line">
                        <a:avLst/>
                      </a:prstGeom>
                      <a:ln w="9360">
                        <a:solidFill>
                          <a:srgbClr val="ff9933"/>
                        </a:solidFill>
                        <a:miter/>
                      </a:ln>
                    </wps:spPr>
                    <wps:style>
                      <a:lnRef idx="0"/>
                      <a:fillRef idx="0"/>
                      <a:effectRef idx="0"/>
                      <a:fontRef idx="minor"/>
                    </wps:style>
                    <wps:bodyPr/>
                  </wps:wsp>
                </a:graphicData>
              </a:graphic>
            </wp:anchor>
          </w:drawing>
        </mc:Choice>
        <mc:Fallback>
          <w:pict>
            <v:line id="shape_0" from="-36pt,62.6pt" to="431.95pt,62.6pt" stroked="t" o:allowincell="f" style="position:absolute">
              <v:stroke color="#ff9933" weight="9360" joinstyle="miter" endcap="flat"/>
              <v:fill o:detectmouseclick="t" on="false"/>
              <w10:wrap type="none"/>
            </v:line>
          </w:pict>
        </mc:Fallback>
      </mc:AlternateContent>
      <w:object w:dxaOrig="5804" w:dyaOrig="409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89.35pt;height:56.05pt" filled="f" o:ole="">
          <v:imagedata r:id="rId2" o:title=""/>
        </v:shape>
        <o:OLEObject Type="Embed" ProgID="" ShapeID="ole_rId1" DrawAspect="Content" ObjectID="_169165630" r:id="rId1"/>
      </w:object>
    </w:r>
    <w:r>
      <mc:AlternateContent>
        <mc:Choice Requires="wps">
          <w:drawing>
            <wp:anchor behindDoc="1" distT="0" distB="0" distL="114935" distR="114935" simplePos="0" locked="0" layoutInCell="1" allowOverlap="1" relativeHeight="3">
              <wp:simplePos x="0" y="0"/>
              <wp:positionH relativeFrom="column">
                <wp:posOffset>4000500</wp:posOffset>
              </wp:positionH>
              <wp:positionV relativeFrom="paragraph">
                <wp:posOffset>-5080</wp:posOffset>
              </wp:positionV>
              <wp:extent cx="1485900" cy="685800"/>
              <wp:effectExtent l="0" t="0" r="0" b="0"/>
              <wp:wrapNone/>
              <wp:docPr id="5" name="Frame2"/>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Heading6"/>
                            <w:ind w:hanging="0" w:start="0"/>
                            <w:rPr>
                              <w:sz w:val="18"/>
                            </w:rPr>
                          </w:pPr>
                          <w:r>
                            <w:rPr>
                              <w:sz w:val="18"/>
                            </w:rPr>
                            <w:t>Sameh Mobarek</w:t>
                          </w:r>
                        </w:p>
                        <w:p>
                          <w:pPr>
                            <w:pStyle w:val="Heading5"/>
                            <w:ind w:hanging="0" w:start="0" w:end="0"/>
                            <w:rPr>
                              <w:color w:val="FF6600"/>
                              <w:sz w:val="18"/>
                            </w:rPr>
                          </w:pPr>
                          <w:r>
                            <w:rPr>
                              <w:color w:val="FF6600"/>
                              <w:sz w:val="18"/>
                            </w:rPr>
                            <w:t>Director, Structuring &amp; Commercial Development</w:t>
                          </w:r>
                        </w:p>
                        <w:p>
                          <w:pPr>
                            <w:pStyle w:val="Heading4"/>
                            <w:spacing w:before="40" w:after="0"/>
                            <w:ind w:hanging="0" w:start="0"/>
                            <w:rPr>
                              <w:smallCaps/>
                              <w:color w:val="FF6600"/>
                              <w:sz w:val="18"/>
                            </w:rPr>
                          </w:pPr>
                          <w:r>
                            <w:rPr>
                              <w:smallCaps/>
                              <w:color w:val="FF6600"/>
                              <w:sz w:val="18"/>
                            </w:rPr>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0.4pt;mso-position-vertical-relative:text;margin-left:315pt;mso-position-horizontal-relative:text">
              <v:fill opacity="0f"/>
              <v:textbox inset="0.100694444444444in,0.0506944444444444in,0.100694444444444in,0.0506944444444444in">
                <w:txbxContent>
                  <w:p>
                    <w:pPr>
                      <w:pStyle w:val="Heading6"/>
                      <w:ind w:hanging="0" w:start="0"/>
                      <w:rPr>
                        <w:sz w:val="18"/>
                      </w:rPr>
                    </w:pPr>
                    <w:r>
                      <w:rPr>
                        <w:sz w:val="18"/>
                      </w:rPr>
                      <w:t>Sameh Mobarek</w:t>
                    </w:r>
                  </w:p>
                  <w:p>
                    <w:pPr>
                      <w:pStyle w:val="Heading5"/>
                      <w:ind w:hanging="0" w:start="0" w:end="0"/>
                      <w:rPr>
                        <w:color w:val="FF6600"/>
                        <w:sz w:val="18"/>
                      </w:rPr>
                    </w:pPr>
                    <w:r>
                      <w:rPr>
                        <w:color w:val="FF6600"/>
                        <w:sz w:val="18"/>
                      </w:rPr>
                      <w:t>Director, Structuring &amp; Commercial Development</w:t>
                    </w:r>
                  </w:p>
                  <w:p>
                    <w:pPr>
                      <w:pStyle w:val="Heading4"/>
                      <w:spacing w:before="40" w:after="0"/>
                      <w:ind w:hanging="0" w:start="0"/>
                      <w:rPr>
                        <w:smallCaps/>
                        <w:color w:val="FF6600"/>
                        <w:sz w:val="18"/>
                      </w:rPr>
                    </w:pPr>
                    <w:r>
                      <w:rPr>
                        <w:smallCaps/>
                        <w:color w:val="FF6600"/>
                        <w:sz w:val="18"/>
                      </w:rPr>
                    </w:r>
                  </w:p>
                </w:txbxContent>
              </v:textbox>
              <w10:wrap type="none"/>
            </v:rect>
          </w:pict>
        </mc:Fallback>
      </mc:AlternateContent>
    </w:r>
    <w:r>
      <mc:AlternateContent>
        <mc:Choice Requires="wps">
          <w:drawing>
            <wp:anchor behindDoc="1" distT="0" distB="0" distL="114935" distR="114935" simplePos="0" locked="0" layoutInCell="1" allowOverlap="1" relativeHeight="4">
              <wp:simplePos x="0" y="0"/>
              <wp:positionH relativeFrom="column">
                <wp:posOffset>4000500</wp:posOffset>
              </wp:positionH>
              <wp:positionV relativeFrom="paragraph">
                <wp:posOffset>452120</wp:posOffset>
              </wp:positionV>
              <wp:extent cx="2171700" cy="342900"/>
              <wp:effectExtent l="0" t="0" r="0" b="0"/>
              <wp:wrapNone/>
              <wp:docPr id="6" name="Frame3"/>
              <a:graphic xmlns:a="http://schemas.openxmlformats.org/drawingml/2006/main">
                <a:graphicData uri="http://schemas.microsoft.com/office/word/2010/wordprocessingShape">
                  <wps:wsp>
                    <wps:cNvSpPr txBox="1"/>
                    <wps:spPr>
                      <a:xfrm>
                        <a:off x="0" y="0"/>
                        <a:ext cx="2171700" cy="342900"/>
                      </a:xfrm>
                      <a:prstGeom prst="rect"/>
                      <a:solidFill>
                        <a:srgbClr val="FFFFFF">
                          <a:alpha val="0"/>
                        </a:srgbClr>
                      </a:solidFill>
                    </wps:spPr>
                    <wps:txbx>
                      <w:txbxContent>
                        <w:p>
                          <w:pPr>
                            <w:pStyle w:val="Heading4"/>
                            <w:ind w:hanging="0" w:start="0"/>
                            <w:rPr>
                              <w:sz w:val="16"/>
                            </w:rPr>
                          </w:pPr>
                          <w:r>
                            <w:rPr>
                              <w:sz w:val="16"/>
                            </w:rPr>
                            <w:t>smobarek@newportgen.com</w:t>
                          </w:r>
                        </w:p>
                        <w:p>
                          <w:pPr>
                            <w:pStyle w:val="Heading4"/>
                            <w:ind w:hanging="0" w:start="0"/>
                            <w:rPr>
                              <w:sz w:val="16"/>
                            </w:rPr>
                          </w:pPr>
                          <w:r>
                            <w:rPr>
                              <w:sz w:val="16"/>
                            </w:rPr>
                            <w:t>Direct (949) 475-9573</w:t>
                          </w:r>
                        </w:p>
                      </w:txbxContent>
                    </wps:txbx>
                    <wps:bodyPr anchor="t" lIns="92075" tIns="46355" rIns="92075" bIns="46355">
                      <a:noAutofit/>
                    </wps:bodyPr>
                  </wps:wsp>
                </a:graphicData>
              </a:graphic>
            </wp:anchor>
          </w:drawing>
        </mc:Choice>
        <mc:Fallback>
          <w:pict>
            <v:rect fillcolor="#FFFFFF" style="position:absolute;rotation:-0;width:171pt;height:27pt;mso-wrap-distance-left:9.05pt;mso-wrap-distance-right:9.05pt;mso-wrap-distance-top:0pt;mso-wrap-distance-bottom:0pt;margin-top:35.6pt;mso-position-vertical-relative:text;margin-left:315pt;mso-position-horizontal-relative:text">
              <v:fill opacity="0f"/>
              <v:textbox inset="0.100694444444444in,0.0506944444444444in,0.100694444444444in,0.0506944444444444in">
                <w:txbxContent>
                  <w:p>
                    <w:pPr>
                      <w:pStyle w:val="Heading4"/>
                      <w:ind w:hanging="0" w:start="0"/>
                      <w:rPr>
                        <w:sz w:val="16"/>
                      </w:rPr>
                    </w:pPr>
                    <w:r>
                      <w:rPr>
                        <w:sz w:val="16"/>
                      </w:rPr>
                      <w:t>smobarek@newportgen.com</w:t>
                    </w:r>
                  </w:p>
                  <w:p>
                    <w:pPr>
                      <w:pStyle w:val="Heading4"/>
                      <w:ind w:hanging="0" w:start="0"/>
                      <w:rPr>
                        <w:sz w:val="16"/>
                      </w:rPr>
                    </w:pPr>
                    <w:r>
                      <w:rPr>
                        <w:sz w:val="16"/>
                      </w:rPr>
                      <w:t>Direct (949) 475-9573</w:t>
                    </w:r>
                  </w:p>
                </w:txbxContent>
              </v:textbox>
              <w10:wrap type="none"/>
            </v:rect>
          </w:pict>
        </mc:Fallback>
      </mc:AlternateContent>
    </w:r>
  </w:p>
  <w:p>
    <w:pPr>
      <w:pStyle w:val="Header"/>
      <w:ind w:start="-720" w:end="0"/>
      <w:rPr/>
    </w:pPr>
    <w:r>
      <w:rPr/>
    </w:r>
  </w:p>
  <w:p>
    <w:pPr>
      <w:pStyle w:val="Header"/>
      <w:ind w:start="-720" w:end="0"/>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088"/>
        </w:tabs>
        <w:ind w:start="2088" w:hanging="648"/>
      </w:pPr>
      <w:rPr/>
    </w:lvl>
  </w:abstractNum>
  <w:abstractNum w:abstractNumId="3">
    <w:lvl w:ilvl="0">
      <w:start w:val="1"/>
      <w:numFmt w:val="lowerLetter"/>
      <w:lvlText w:val="(%1)"/>
      <w:lvlJc w:val="start"/>
      <w:pPr>
        <w:tabs>
          <w:tab w:val="num" w:pos="1368"/>
        </w:tabs>
        <w:ind w:start="1368" w:hanging="648"/>
      </w:pPr>
      <w:rPr/>
    </w:lvl>
  </w:abstractNum>
  <w:abstractNum w:abstractNumId="4">
    <w:lvl w:ilvl="0">
      <w:start w:val="1"/>
      <w:numFmt w:val="lowerLetter"/>
      <w:lvlText w:val="(%1)"/>
      <w:lvlJc w:val="start"/>
      <w:pPr>
        <w:tabs>
          <w:tab w:val="num" w:pos="1368"/>
        </w:tabs>
        <w:ind w:start="1368" w:hanging="648"/>
      </w:pPr>
      <w:rPr/>
    </w:lvl>
  </w:abstractNum>
  <w:abstractNum w:abstractNumId="5">
    <w:lvl w:ilvl="0">
      <w:start w:val="1"/>
      <w:numFmt w:val="decimal"/>
      <w:lvlText w:val="%1.0"/>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lowerLetter"/>
      <w:lvlText w:val="(%1)"/>
      <w:lvlJc w:val="start"/>
      <w:pPr>
        <w:tabs>
          <w:tab w:val="num" w:pos="1368"/>
        </w:tabs>
        <w:ind w:start="1368" w:hanging="648"/>
      </w:pPr>
      <w:rPr/>
    </w:lvl>
  </w:abstractNum>
  <w:abstractNum w:abstractNumId="8">
    <w:lvl w:ilvl="0">
      <w:start w:val="1"/>
      <w:numFmt w:val="lowerLetter"/>
      <w:lvlText w:val="(%1)"/>
      <w:lvlJc w:val="start"/>
      <w:pPr>
        <w:tabs>
          <w:tab w:val="num" w:pos="648"/>
        </w:tabs>
        <w:ind w:start="648" w:hanging="648"/>
      </w:pPr>
      <w:rPr/>
    </w:lvl>
  </w:abstractNum>
  <w:abstractNum w:abstractNumId="9">
    <w:lvl w:ilvl="0">
      <w:start w:val="1"/>
      <w:numFmt w:val="lowerLetter"/>
      <w:lvlText w:val="(%1)"/>
      <w:lvlJc w:val="start"/>
      <w:pPr>
        <w:tabs>
          <w:tab w:val="num" w:pos="1368"/>
        </w:tabs>
        <w:ind w:start="1368" w:hanging="64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3399"/>
      <w:sz w:val="32"/>
    </w:rPr>
  </w:style>
  <w:style w:type="paragraph" w:styleId="Heading2">
    <w:name w:val="heading 2"/>
    <w:basedOn w:val="Normal"/>
    <w:next w:val="Normal"/>
    <w:qFormat/>
    <w:pPr>
      <w:keepNext w:val="true"/>
      <w:numPr>
        <w:ilvl w:val="1"/>
        <w:numId w:val="1"/>
      </w:numPr>
      <w:jc w:val="end"/>
      <w:outlineLvl w:val="1"/>
    </w:pPr>
    <w:rPr>
      <w:b/>
      <w:bCs/>
      <w:color w:val="333399"/>
    </w:rPr>
  </w:style>
  <w:style w:type="paragraph" w:styleId="Heading3">
    <w:name w:val="heading 3"/>
    <w:basedOn w:val="Normal"/>
    <w:next w:val="Normal"/>
    <w:qFormat/>
    <w:pPr>
      <w:keepNext w:val="true"/>
      <w:numPr>
        <w:ilvl w:val="2"/>
        <w:numId w:val="1"/>
      </w:numPr>
      <w:spacing w:before="0" w:after="240"/>
      <w:jc w:val="center"/>
      <w:outlineLvl w:val="2"/>
    </w:pPr>
    <w:rPr>
      <w:b/>
      <w:bCs/>
    </w:rPr>
  </w:style>
  <w:style w:type="paragraph" w:styleId="Heading4">
    <w:name w:val="heading 4"/>
    <w:basedOn w:val="Normal"/>
    <w:next w:val="Normal"/>
    <w:qFormat/>
    <w:pPr>
      <w:keepNext w:val="true"/>
      <w:numPr>
        <w:ilvl w:val="3"/>
        <w:numId w:val="1"/>
      </w:numPr>
      <w:outlineLvl w:val="3"/>
    </w:pPr>
    <w:rPr>
      <w:b/>
      <w:bCs/>
      <w:color w:val="333399"/>
    </w:rPr>
  </w:style>
  <w:style w:type="paragraph" w:styleId="Heading5">
    <w:name w:val="heading 5"/>
    <w:basedOn w:val="Normal"/>
    <w:next w:val="Normal"/>
    <w:qFormat/>
    <w:pPr>
      <w:keepNext w:val="true"/>
      <w:numPr>
        <w:ilvl w:val="4"/>
        <w:numId w:val="1"/>
      </w:numPr>
      <w:outlineLvl w:val="4"/>
    </w:pPr>
    <w:rPr>
      <w:b/>
      <w:bCs/>
      <w:color w:val="FF9900"/>
    </w:rPr>
  </w:style>
  <w:style w:type="paragraph" w:styleId="Heading6">
    <w:name w:val="heading 6"/>
    <w:basedOn w:val="Normal"/>
    <w:next w:val="Normal"/>
    <w:qFormat/>
    <w:pPr>
      <w:keepNext w:val="true"/>
      <w:numPr>
        <w:ilvl w:val="5"/>
        <w:numId w:val="1"/>
      </w:numPr>
      <w:outlineLvl w:val="5"/>
    </w:pPr>
    <w:rPr>
      <w:b/>
      <w:bCs/>
      <w:color w:val="FF6600"/>
    </w:rPr>
  </w:style>
  <w:style w:type="paragraph" w:styleId="Heading9">
    <w:name w:val="heading 9"/>
    <w:basedOn w:val="Normal"/>
    <w:next w:val="Normal"/>
    <w:qFormat/>
    <w:pPr>
      <w:keepNext w:val="true"/>
      <w:numPr>
        <w:ilvl w:val="8"/>
        <w:numId w:val="1"/>
      </w:numPr>
      <w:outlineLvl w:val="8"/>
    </w:pPr>
    <w:rPr>
      <w:b/>
      <w:bCs/>
      <w:szCs w:val="20"/>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cs="Times New Roman"/>
      <w:b w:val="false"/>
      <w:i w:val="false"/>
    </w:rPr>
  </w:style>
  <w:style w:type="character" w:styleId="WW8Num7z1">
    <w:name w:val="WW8Num7z1"/>
    <w:qFormat/>
    <w:rPr>
      <w:rFonts w:ascii="WP TypographicSymbols;Symbol" w:hAnsi="WP TypographicSymbols;Symbol" w:cs="WP TypographicSymbols;Symbol"/>
    </w:rPr>
  </w:style>
  <w:style w:type="character" w:styleId="WW8Num7z2">
    <w:name w:val="WW8Num7z2"/>
    <w:qFormat/>
    <w:rPr/>
  </w:style>
  <w:style w:type="character" w:styleId="WW8Num7z4">
    <w:name w:val="WW8Num7z4"/>
    <w:qFormat/>
    <w:rPr>
      <w:rFonts w:ascii="Andale Mono" w:hAnsi="Andale Mono" w:cs="Andale Mono"/>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19z5">
    <w:name w:val="WW8Num19z5"/>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00"/>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pPr>
    <w:rPr>
      <w:color w:val="FF0066"/>
      <w:sz w:val="20"/>
    </w:rPr>
  </w:style>
  <w:style w:type="paragraph" w:styleId="BodyText3">
    <w:name w:val="Body Text 3"/>
    <w:basedOn w:val="Normal"/>
    <w:qFormat/>
    <w:pPr>
      <w:jc w:val="both"/>
    </w:pPr>
    <w:rPr>
      <w:rFonts w:ascii="Calisto MT" w:hAnsi="Calisto MT" w:cs="Calisto MT"/>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newportge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2001-03-08T01:01:00Z</dcterms:created>
  <dc:creator>Sameh I. Mobarek</dc:creator>
  <dc:description/>
  <dc:language>en-CA</dc:language>
  <cp:lastModifiedBy>Sameh I. Mobarek</cp:lastModifiedBy>
  <cp:lastPrinted>2001-03-20T14:46:00Z</cp:lastPrinted>
  <dcterms:modified xsi:type="dcterms:W3CDTF">2001-03-22T19:56:00Z</dcterms:modified>
  <cp:revision>77</cp:revision>
  <dc:subject/>
  <dc:title>March 1, 2001</dc:title>
</cp:coreProperties>
</file>