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szCs w:val="20"/>
        </w:rPr>
      </w:pPr>
      <w:r>
        <w:rPr>
          <w:sz w:val="20"/>
          <w:szCs w:val="20"/>
        </w:rPr>
        <w:drawing>
          <wp:inline distT="0" distB="0" distL="0" distR="0">
            <wp:extent cx="92964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2964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color w:val="000080"/>
                <w:sz w:val="16"/>
                <w:szCs w:val="16"/>
              </w:rPr>
            </w:pPr>
            <w:r>
              <w:rPr>
                <w:color w:val="000080"/>
                <w:sz w:val="16"/>
                <w:szCs w:val="16"/>
              </w:rPr>
              <w:t>To:</w:t>
            </w:r>
          </w:p>
        </w:tc>
        <w:tc>
          <w:tcPr>
            <w:tcW w:w="6045" w:type="dxa"/>
            <w:tcBorders/>
          </w:tcPr>
          <w:p>
            <w:pPr>
              <w:pStyle w:val="To"/>
              <w:rPr>
                <w:color w:val="000080"/>
              </w:rPr>
            </w:pPr>
            <w:bookmarkStart w:id="0" w:name="to"/>
            <w:bookmarkEnd w:id="0"/>
            <w:r>
              <w:rPr>
                <w:color w:val="000080"/>
              </w:rPr>
              <w:t>George Fastuca</w:t>
            </w:r>
          </w:p>
        </w:tc>
        <w:tc>
          <w:tcPr>
            <w:tcW w:w="990" w:type="dxa"/>
            <w:tcBorders/>
          </w:tcPr>
          <w:p>
            <w:pPr>
              <w:pStyle w:val="Normal"/>
              <w:snapToGrid w:val="false"/>
              <w:ind w:start="-180" w:end="0"/>
              <w:rPr>
                <w:color w:val="000080"/>
              </w:rPr>
            </w:pPr>
            <w:r>
              <w:rPr>
                <w:color w:val="000080"/>
              </w:rPr>
            </w:r>
          </w:p>
        </w:tc>
        <w:tc>
          <w:tcPr>
            <w:tcW w:w="2965" w:type="dxa"/>
            <w:tcBorders/>
          </w:tcPr>
          <w:p>
            <w:pPr>
              <w:pStyle w:val="Normal"/>
              <w:snapToGrid w:val="false"/>
              <w:rPr>
                <w:color w:val="000080"/>
              </w:rPr>
            </w:pPr>
            <w:r>
              <w:rPr>
                <w:color w:val="000080"/>
              </w:rPr>
            </w:r>
          </w:p>
        </w:tc>
      </w:tr>
      <w:tr>
        <w:trPr>
          <w:trHeight w:val="216" w:hRule="exact"/>
        </w:trPr>
        <w:tc>
          <w:tcPr>
            <w:tcW w:w="708" w:type="dxa"/>
            <w:tcBorders/>
          </w:tcPr>
          <w:p>
            <w:pPr>
              <w:pStyle w:val="Normal"/>
              <w:snapToGrid w:val="false"/>
              <w:ind w:start="-180" w:end="0"/>
              <w:jc w:val="end"/>
              <w:rPr>
                <w:color w:val="000080"/>
                <w:sz w:val="18"/>
                <w:szCs w:val="18"/>
              </w:rPr>
            </w:pPr>
            <w:r>
              <w:rPr>
                <w:color w:val="000080"/>
                <w:sz w:val="18"/>
                <w:szCs w:val="18"/>
              </w:rPr>
            </w:r>
          </w:p>
        </w:tc>
        <w:tc>
          <w:tcPr>
            <w:tcW w:w="6045" w:type="dxa"/>
            <w:tcBorders/>
          </w:tcPr>
          <w:p>
            <w:pPr>
              <w:pStyle w:val="Normal"/>
              <w:snapToGrid w:val="false"/>
              <w:rPr>
                <w:color w:val="000080"/>
                <w:sz w:val="18"/>
                <w:szCs w:val="18"/>
              </w:rPr>
            </w:pPr>
            <w:r>
              <w:rPr>
                <w:color w:val="000080"/>
                <w:sz w:val="18"/>
                <w:szCs w:val="18"/>
              </w:rPr>
            </w:r>
          </w:p>
        </w:tc>
        <w:tc>
          <w:tcPr>
            <w:tcW w:w="990" w:type="dxa"/>
            <w:tcBorders/>
          </w:tcPr>
          <w:p>
            <w:pPr>
              <w:pStyle w:val="Normal"/>
              <w:snapToGrid w:val="false"/>
              <w:ind w:start="-180" w:end="0"/>
              <w:rPr>
                <w:color w:val="000080"/>
                <w:sz w:val="18"/>
                <w:szCs w:val="18"/>
              </w:rPr>
            </w:pPr>
            <w:r>
              <w:rPr>
                <w:color w:val="000080"/>
                <w:sz w:val="18"/>
                <w:szCs w:val="18"/>
              </w:rPr>
            </w:r>
          </w:p>
        </w:tc>
        <w:tc>
          <w:tcPr>
            <w:tcW w:w="2965" w:type="dxa"/>
            <w:tcBorders/>
          </w:tcPr>
          <w:p>
            <w:pPr>
              <w:pStyle w:val="Normal"/>
              <w:snapToGrid w:val="false"/>
              <w:rPr>
                <w:color w:val="000080"/>
                <w:sz w:val="18"/>
                <w:szCs w:val="18"/>
              </w:rPr>
            </w:pPr>
            <w:r>
              <w:rPr>
                <w:color w:val="000080"/>
                <w:sz w:val="18"/>
                <w:szCs w:val="18"/>
              </w:rPr>
            </w:r>
          </w:p>
        </w:tc>
      </w:tr>
      <w:tr>
        <w:trPr>
          <w:trHeight w:val="300" w:hRule="exact"/>
        </w:trPr>
        <w:tc>
          <w:tcPr>
            <w:tcW w:w="708" w:type="dxa"/>
            <w:tcBorders/>
          </w:tcPr>
          <w:p>
            <w:pPr>
              <w:pStyle w:val="Normal"/>
              <w:ind w:start="-180" w:end="0"/>
              <w:jc w:val="end"/>
              <w:rPr>
                <w:color w:val="000080"/>
                <w:sz w:val="16"/>
                <w:szCs w:val="16"/>
              </w:rPr>
            </w:pPr>
            <w:r>
              <w:rPr>
                <w:color w:val="000080"/>
                <w:sz w:val="16"/>
                <w:szCs w:val="16"/>
              </w:rPr>
              <w:t>From:</w:t>
            </w:r>
          </w:p>
        </w:tc>
        <w:tc>
          <w:tcPr>
            <w:tcW w:w="6045" w:type="dxa"/>
            <w:tcBorders/>
          </w:tcPr>
          <w:p>
            <w:pPr>
              <w:pStyle w:val="From"/>
              <w:rPr>
                <w:color w:val="000080"/>
              </w:rPr>
            </w:pPr>
            <w:r>
              <w:rPr>
                <w:color w:val="000080"/>
              </w:rPr>
              <w:t>Bob Chandler</w:t>
            </w:r>
          </w:p>
          <w:p>
            <w:pPr>
              <w:pStyle w:val="From"/>
              <w:rPr>
                <w:color w:val="000080"/>
              </w:rPr>
            </w:pPr>
            <w:r>
              <w:rPr>
                <w:color w:val="000080"/>
              </w:rPr>
            </w:r>
          </w:p>
        </w:tc>
        <w:tc>
          <w:tcPr>
            <w:tcW w:w="990" w:type="dxa"/>
            <w:tcBorders/>
          </w:tcPr>
          <w:p>
            <w:pPr>
              <w:pStyle w:val="Normal"/>
              <w:ind w:start="-180" w:end="0"/>
              <w:jc w:val="end"/>
              <w:rPr>
                <w:color w:val="000080"/>
                <w:sz w:val="16"/>
                <w:szCs w:val="16"/>
              </w:rPr>
            </w:pPr>
            <w:r>
              <w:rPr>
                <w:color w:val="000080"/>
                <w:sz w:val="16"/>
                <w:szCs w:val="16"/>
              </w:rPr>
              <w:t>Department:</w:t>
            </w:r>
          </w:p>
        </w:tc>
        <w:tc>
          <w:tcPr>
            <w:tcW w:w="2965" w:type="dxa"/>
            <w:tcBorders/>
          </w:tcPr>
          <w:p>
            <w:pPr>
              <w:pStyle w:val="Department"/>
              <w:rPr>
                <w:color w:val="000080"/>
              </w:rPr>
            </w:pPr>
            <w:bookmarkStart w:id="1" w:name="From"/>
            <w:bookmarkEnd w:id="1"/>
            <w:r>
              <w:rPr>
                <w:color w:val="000080"/>
              </w:rPr>
              <w:t>ET&amp;S Accounting &amp; Reporting</w:t>
            </w:r>
          </w:p>
        </w:tc>
      </w:tr>
      <w:tr>
        <w:trPr>
          <w:trHeight w:val="216" w:hRule="exact"/>
        </w:trPr>
        <w:tc>
          <w:tcPr>
            <w:tcW w:w="708" w:type="dxa"/>
            <w:tcBorders/>
          </w:tcPr>
          <w:p>
            <w:pPr>
              <w:pStyle w:val="Normal"/>
              <w:snapToGrid w:val="false"/>
              <w:ind w:start="-180" w:end="0"/>
              <w:jc w:val="end"/>
              <w:rPr>
                <w:color w:val="000080"/>
                <w:sz w:val="18"/>
                <w:szCs w:val="18"/>
              </w:rPr>
            </w:pPr>
            <w:r>
              <w:rPr>
                <w:color w:val="000080"/>
                <w:sz w:val="18"/>
                <w:szCs w:val="18"/>
              </w:rPr>
            </w:r>
          </w:p>
        </w:tc>
        <w:tc>
          <w:tcPr>
            <w:tcW w:w="6045" w:type="dxa"/>
            <w:tcBorders/>
          </w:tcPr>
          <w:p>
            <w:pPr>
              <w:pStyle w:val="Normal"/>
              <w:snapToGrid w:val="false"/>
              <w:rPr>
                <w:color w:val="000080"/>
                <w:sz w:val="18"/>
                <w:szCs w:val="18"/>
              </w:rPr>
            </w:pPr>
            <w:r>
              <w:rPr>
                <w:color w:val="000080"/>
                <w:sz w:val="18"/>
                <w:szCs w:val="18"/>
              </w:rPr>
            </w:r>
          </w:p>
        </w:tc>
        <w:tc>
          <w:tcPr>
            <w:tcW w:w="990" w:type="dxa"/>
            <w:tcBorders/>
          </w:tcPr>
          <w:p>
            <w:pPr>
              <w:pStyle w:val="Normal"/>
              <w:snapToGrid w:val="false"/>
              <w:ind w:start="-180" w:end="0"/>
              <w:rPr>
                <w:color w:val="000080"/>
                <w:sz w:val="18"/>
                <w:szCs w:val="18"/>
              </w:rPr>
            </w:pPr>
            <w:r>
              <w:rPr>
                <w:color w:val="000080"/>
                <w:sz w:val="18"/>
                <w:szCs w:val="18"/>
              </w:rPr>
            </w:r>
          </w:p>
        </w:tc>
        <w:tc>
          <w:tcPr>
            <w:tcW w:w="2965" w:type="dxa"/>
            <w:tcBorders/>
          </w:tcPr>
          <w:p>
            <w:pPr>
              <w:pStyle w:val="Normal"/>
              <w:snapToGrid w:val="false"/>
              <w:rPr>
                <w:color w:val="000080"/>
                <w:sz w:val="18"/>
                <w:szCs w:val="18"/>
              </w:rPr>
            </w:pPr>
            <w:r>
              <w:rPr>
                <w:color w:val="000080"/>
                <w:sz w:val="18"/>
                <w:szCs w:val="18"/>
              </w:rPr>
            </w:r>
          </w:p>
        </w:tc>
      </w:tr>
      <w:tr>
        <w:trPr>
          <w:trHeight w:val="600" w:hRule="exact"/>
        </w:trPr>
        <w:tc>
          <w:tcPr>
            <w:tcW w:w="708" w:type="dxa"/>
            <w:tcBorders>
              <w:bottom w:val="single" w:sz="18" w:space="0" w:color="000000"/>
            </w:tcBorders>
          </w:tcPr>
          <w:p>
            <w:pPr>
              <w:pStyle w:val="Normal"/>
              <w:ind w:start="-180" w:end="0"/>
              <w:jc w:val="end"/>
              <w:rPr>
                <w:color w:val="000080"/>
                <w:sz w:val="16"/>
                <w:szCs w:val="16"/>
              </w:rPr>
            </w:pPr>
            <w:r>
              <w:rPr>
                <w:color w:val="000080"/>
                <w:sz w:val="16"/>
                <w:szCs w:val="16"/>
              </w:rPr>
              <w:t>Subject:</w:t>
            </w:r>
          </w:p>
        </w:tc>
        <w:tc>
          <w:tcPr>
            <w:tcW w:w="6045" w:type="dxa"/>
            <w:tcBorders>
              <w:bottom w:val="single" w:sz="18" w:space="0" w:color="000000"/>
            </w:tcBorders>
          </w:tcPr>
          <w:p>
            <w:pPr>
              <w:pStyle w:val="Subject"/>
              <w:rPr>
                <w:color w:val="000080"/>
              </w:rPr>
            </w:pPr>
            <w:bookmarkStart w:id="2" w:name="Subject"/>
            <w:bookmarkEnd w:id="2"/>
            <w:r>
              <w:rPr>
                <w:color w:val="000080"/>
              </w:rPr>
              <w:t>Revenue Management Study—Accounting Implications of SOP98-1</w:t>
            </w:r>
          </w:p>
        </w:tc>
        <w:tc>
          <w:tcPr>
            <w:tcW w:w="990" w:type="dxa"/>
            <w:tcBorders>
              <w:bottom w:val="single" w:sz="18" w:space="0" w:color="000000"/>
            </w:tcBorders>
          </w:tcPr>
          <w:p>
            <w:pPr>
              <w:pStyle w:val="Normal"/>
              <w:ind w:start="-180" w:end="0"/>
              <w:jc w:val="end"/>
              <w:rPr>
                <w:color w:val="000080"/>
                <w:sz w:val="16"/>
                <w:szCs w:val="16"/>
              </w:rPr>
            </w:pPr>
            <w:r>
              <w:rPr>
                <w:color w:val="000080"/>
                <w:sz w:val="16"/>
                <w:szCs w:val="16"/>
              </w:rPr>
              <w:t>Date:</w:t>
            </w:r>
          </w:p>
        </w:tc>
        <w:tc>
          <w:tcPr>
            <w:tcW w:w="2965" w:type="dxa"/>
            <w:tcBorders>
              <w:bottom w:val="single" w:sz="18" w:space="0" w:color="000000"/>
            </w:tcBorders>
          </w:tcPr>
          <w:p>
            <w:pPr>
              <w:pStyle w:val="Date"/>
              <w:rPr>
                <w:color w:val="000080"/>
              </w:rPr>
            </w:pPr>
            <w:r>
              <w:rPr>
                <w:color w:val="000080"/>
              </w:rPr>
              <w:t>August 26, 1999</w:t>
            </w:r>
          </w:p>
        </w:tc>
      </w:tr>
    </w:tbl>
    <w:p>
      <w:pPr>
        <w:pStyle w:val="Body"/>
        <w:rPr/>
      </w:pPr>
      <w:r>
        <w:rPr/>
      </w:r>
    </w:p>
    <w:p>
      <w:pPr>
        <w:pStyle w:val="Normal"/>
        <w:spacing w:lineRule="atLeast" w:line="240"/>
        <w:rPr>
          <w:color w:val="000080"/>
          <w:sz w:val="22"/>
          <w:szCs w:val="22"/>
        </w:rPr>
      </w:pPr>
      <w:bookmarkStart w:id="3" w:name="StartOfMemo"/>
      <w:bookmarkEnd w:id="3"/>
      <w:r>
        <w:rPr>
          <w:color w:val="000080"/>
          <w:sz w:val="22"/>
          <w:szCs w:val="22"/>
        </w:rPr>
        <w:t>For your information, the Revenue Management Study (Pros)  "J" work order JN8485 had the following project-to-date balances:</w:t>
      </w:r>
    </w:p>
    <w:p>
      <w:pPr>
        <w:pStyle w:val="Normal"/>
        <w:spacing w:lineRule="atLeast" w:line="240"/>
        <w:rPr>
          <w:color w:val="000080"/>
          <w:sz w:val="22"/>
          <w:szCs w:val="22"/>
        </w:rPr>
      </w:pPr>
      <w:r>
        <w:rPr>
          <w:color w:val="000080"/>
          <w:sz w:val="22"/>
          <w:szCs w:val="22"/>
        </w:rPr>
      </w:r>
    </w:p>
    <w:p>
      <w:pPr>
        <w:pStyle w:val="Normal"/>
        <w:spacing w:lineRule="atLeast" w:line="240"/>
        <w:rPr>
          <w:color w:val="000080"/>
          <w:sz w:val="22"/>
          <w:szCs w:val="22"/>
        </w:rPr>
      </w:pPr>
      <w:r>
        <w:rPr>
          <w:color w:val="000080"/>
          <w:sz w:val="22"/>
          <w:szCs w:val="22"/>
        </w:rPr>
        <w:t>12/31/98:  $593,677</w:t>
      </w:r>
    </w:p>
    <w:p>
      <w:pPr>
        <w:pStyle w:val="Normal"/>
        <w:spacing w:lineRule="atLeast" w:line="240"/>
        <w:rPr>
          <w:color w:val="000080"/>
          <w:sz w:val="22"/>
          <w:szCs w:val="22"/>
        </w:rPr>
      </w:pPr>
      <w:r>
        <w:rPr>
          <w:color w:val="000080"/>
          <w:sz w:val="22"/>
          <w:szCs w:val="22"/>
        </w:rPr>
      </w:r>
    </w:p>
    <w:p>
      <w:pPr>
        <w:pStyle w:val="Normal"/>
        <w:spacing w:lineRule="atLeast" w:line="240"/>
        <w:rPr>
          <w:color w:val="000080"/>
          <w:sz w:val="22"/>
          <w:szCs w:val="22"/>
        </w:rPr>
      </w:pPr>
      <w:r>
        <w:rPr>
          <w:color w:val="000080"/>
          <w:sz w:val="22"/>
          <w:szCs w:val="22"/>
        </w:rPr>
        <w:t>07/31/99:  $832,264</w:t>
      </w:r>
    </w:p>
    <w:p>
      <w:pPr>
        <w:pStyle w:val="Normal"/>
        <w:spacing w:lineRule="atLeast" w:line="240"/>
        <w:rPr>
          <w:color w:val="000080"/>
          <w:sz w:val="22"/>
          <w:szCs w:val="22"/>
        </w:rPr>
      </w:pPr>
      <w:r>
        <w:rPr>
          <w:color w:val="000080"/>
          <w:sz w:val="22"/>
          <w:szCs w:val="22"/>
        </w:rPr>
      </w:r>
    </w:p>
    <w:p>
      <w:pPr>
        <w:pStyle w:val="Heading1"/>
        <w:ind w:hanging="0" w:start="0"/>
        <w:rPr/>
      </w:pPr>
      <w:r>
        <w:rPr/>
        <w:t>Statement of Position 98-1 Requirements</w:t>
      </w:r>
    </w:p>
    <w:p>
      <w:pPr>
        <w:pStyle w:val="Normal"/>
        <w:spacing w:lineRule="atLeast" w:line="240"/>
        <w:rPr>
          <w:color w:val="000080"/>
          <w:sz w:val="22"/>
          <w:szCs w:val="22"/>
        </w:rPr>
      </w:pPr>
      <w:r>
        <w:rPr>
          <w:color w:val="000080"/>
          <w:sz w:val="22"/>
          <w:szCs w:val="22"/>
        </w:rPr>
      </w:r>
    </w:p>
    <w:p>
      <w:pPr>
        <w:pStyle w:val="Normal"/>
        <w:spacing w:lineRule="atLeast" w:line="240"/>
        <w:rPr>
          <w:color w:val="000080"/>
          <w:sz w:val="22"/>
          <w:szCs w:val="22"/>
        </w:rPr>
      </w:pPr>
      <w:r>
        <w:rPr>
          <w:color w:val="000080"/>
          <w:sz w:val="22"/>
          <w:szCs w:val="22"/>
        </w:rPr>
        <w:t xml:space="preserve">Paragraph .20 of the SOP states that "Internal and external costs incurred during the preliminary project stage should be expensed as they are incurred”.  </w:t>
      </w:r>
    </w:p>
    <w:p>
      <w:pPr>
        <w:pStyle w:val="Normal"/>
        <w:spacing w:lineRule="atLeast" w:line="240"/>
        <w:rPr>
          <w:color w:val="000080"/>
          <w:sz w:val="22"/>
          <w:szCs w:val="22"/>
        </w:rPr>
      </w:pPr>
      <w:r>
        <w:rPr>
          <w:color w:val="000080"/>
          <w:sz w:val="22"/>
          <w:szCs w:val="22"/>
        </w:rPr>
      </w:r>
    </w:p>
    <w:p>
      <w:pPr>
        <w:pStyle w:val="Normal"/>
        <w:spacing w:lineRule="atLeast" w:line="240"/>
        <w:rPr/>
      </w:pPr>
      <w:r>
        <w:rPr>
          <w:color w:val="000080"/>
          <w:sz w:val="22"/>
          <w:szCs w:val="22"/>
        </w:rPr>
        <w:t xml:space="preserve">The definition of </w:t>
      </w:r>
      <w:r>
        <w:rPr>
          <w:color w:val="000080"/>
          <w:sz w:val="22"/>
          <w:szCs w:val="22"/>
          <w:u w:val="single"/>
        </w:rPr>
        <w:t>Preliminary Project Stage</w:t>
      </w:r>
      <w:r>
        <w:rPr>
          <w:color w:val="000080"/>
          <w:sz w:val="22"/>
          <w:szCs w:val="22"/>
        </w:rPr>
        <w:t xml:space="preserve"> is illustrated in paragraph .17 as typically including such activities as:</w:t>
      </w:r>
    </w:p>
    <w:p>
      <w:pPr>
        <w:pStyle w:val="Normal"/>
        <w:spacing w:lineRule="atLeast" w:line="240"/>
        <w:rPr>
          <w:color w:val="000080"/>
          <w:sz w:val="22"/>
          <w:szCs w:val="22"/>
        </w:rPr>
      </w:pPr>
      <w:r>
        <w:rPr>
          <w:color w:val="000080"/>
          <w:sz w:val="22"/>
          <w:szCs w:val="22"/>
        </w:rPr>
      </w:r>
    </w:p>
    <w:p>
      <w:pPr>
        <w:pStyle w:val="Normal"/>
        <w:spacing w:lineRule="atLeast" w:line="240"/>
        <w:rPr>
          <w:color w:val="000080"/>
          <w:sz w:val="22"/>
          <w:szCs w:val="22"/>
        </w:rPr>
      </w:pPr>
      <w:r>
        <w:rPr>
          <w:color w:val="000080"/>
          <w:sz w:val="22"/>
          <w:szCs w:val="22"/>
        </w:rPr>
        <w:t>-  Conceptual formulation of alternatives</w:t>
      </w:r>
    </w:p>
    <w:p>
      <w:pPr>
        <w:pStyle w:val="Normal"/>
        <w:spacing w:lineRule="atLeast" w:line="240"/>
        <w:rPr>
          <w:color w:val="000080"/>
          <w:sz w:val="22"/>
          <w:szCs w:val="22"/>
        </w:rPr>
      </w:pPr>
      <w:r>
        <w:rPr>
          <w:color w:val="000080"/>
          <w:sz w:val="22"/>
          <w:szCs w:val="22"/>
        </w:rPr>
        <w:t>-  Evaluation of alternatives</w:t>
      </w:r>
    </w:p>
    <w:p>
      <w:pPr>
        <w:pStyle w:val="Normal"/>
        <w:spacing w:lineRule="atLeast" w:line="240"/>
        <w:rPr>
          <w:color w:val="000080"/>
          <w:sz w:val="22"/>
          <w:szCs w:val="22"/>
        </w:rPr>
      </w:pPr>
      <w:r>
        <w:rPr>
          <w:color w:val="000080"/>
          <w:sz w:val="22"/>
          <w:szCs w:val="22"/>
        </w:rPr>
        <w:t>-  Determination of existence of needed technology</w:t>
      </w:r>
    </w:p>
    <w:p>
      <w:pPr>
        <w:pStyle w:val="Normal"/>
        <w:spacing w:lineRule="atLeast" w:line="240"/>
        <w:rPr>
          <w:color w:val="000080"/>
          <w:sz w:val="22"/>
          <w:szCs w:val="22"/>
        </w:rPr>
      </w:pPr>
      <w:r>
        <w:rPr>
          <w:color w:val="000080"/>
          <w:sz w:val="22"/>
          <w:szCs w:val="22"/>
        </w:rPr>
        <w:t>-  Final selection of alternatives</w:t>
      </w:r>
    </w:p>
    <w:p>
      <w:pPr>
        <w:pStyle w:val="Normal"/>
        <w:spacing w:lineRule="atLeast" w:line="240"/>
        <w:rPr>
          <w:color w:val="000080"/>
          <w:sz w:val="22"/>
          <w:szCs w:val="22"/>
        </w:rPr>
      </w:pPr>
      <w:r>
        <w:rPr>
          <w:color w:val="000080"/>
          <w:sz w:val="22"/>
          <w:szCs w:val="22"/>
        </w:rPr>
      </w:r>
    </w:p>
    <w:p>
      <w:pPr>
        <w:pStyle w:val="Normal"/>
        <w:spacing w:lineRule="atLeast" w:line="240"/>
        <w:rPr/>
      </w:pPr>
      <w:r>
        <w:rPr>
          <w:color w:val="000080"/>
          <w:sz w:val="22"/>
          <w:szCs w:val="22"/>
        </w:rPr>
        <w:t xml:space="preserve">Paragraph .27 states that "Capitalization of costs should begin when </w:t>
      </w:r>
      <w:r>
        <w:rPr>
          <w:color w:val="000080"/>
          <w:sz w:val="22"/>
          <w:szCs w:val="22"/>
          <w:u w:val="single"/>
        </w:rPr>
        <w:t>both</w:t>
      </w:r>
      <w:r>
        <w:rPr>
          <w:color w:val="000080"/>
          <w:sz w:val="22"/>
          <w:szCs w:val="22"/>
        </w:rPr>
        <w:t xml:space="preserve"> of the following occur:</w:t>
      </w:r>
    </w:p>
    <w:p>
      <w:pPr>
        <w:pStyle w:val="Normal"/>
        <w:spacing w:lineRule="atLeast" w:line="240"/>
        <w:rPr>
          <w:color w:val="000080"/>
          <w:sz w:val="22"/>
          <w:szCs w:val="22"/>
        </w:rPr>
      </w:pPr>
      <w:r>
        <w:rPr>
          <w:color w:val="000080"/>
          <w:sz w:val="22"/>
          <w:szCs w:val="22"/>
        </w:rPr>
      </w:r>
    </w:p>
    <w:p>
      <w:pPr>
        <w:pStyle w:val="Normal"/>
        <w:spacing w:lineRule="atLeast" w:line="240"/>
        <w:rPr>
          <w:color w:val="000080"/>
          <w:sz w:val="22"/>
          <w:szCs w:val="22"/>
        </w:rPr>
      </w:pPr>
      <w:r>
        <w:rPr>
          <w:color w:val="000080"/>
          <w:sz w:val="22"/>
          <w:szCs w:val="22"/>
        </w:rPr>
        <w:t xml:space="preserve">a.  Preliminary project stage is completed </w:t>
      </w:r>
      <w:r>
        <w:rPr>
          <w:color w:val="000080"/>
          <w:sz w:val="22"/>
          <w:szCs w:val="22"/>
          <w:u w:val="single"/>
        </w:rPr>
        <w:t>and</w:t>
      </w:r>
    </w:p>
    <w:p>
      <w:pPr>
        <w:pStyle w:val="Normal"/>
        <w:spacing w:lineRule="atLeast" w:line="240"/>
        <w:rPr>
          <w:color w:val="000080"/>
          <w:sz w:val="22"/>
          <w:szCs w:val="22"/>
        </w:rPr>
      </w:pPr>
      <w:r>
        <w:rPr>
          <w:color w:val="000080"/>
          <w:sz w:val="22"/>
          <w:szCs w:val="22"/>
        </w:rPr>
      </w:r>
    </w:p>
    <w:p>
      <w:pPr>
        <w:pStyle w:val="Normal"/>
        <w:spacing w:lineRule="atLeast" w:line="240"/>
        <w:rPr>
          <w:color w:val="000080"/>
          <w:sz w:val="22"/>
          <w:szCs w:val="22"/>
        </w:rPr>
      </w:pPr>
      <w:r>
        <w:rPr>
          <w:color w:val="000080"/>
          <w:sz w:val="22"/>
          <w:szCs w:val="22"/>
        </w:rPr>
        <w:t>b.  Management, with the relevant authority, implicitly or explicitly authorizes and commits to funding a computer software project and it is probable that the project will be completed and the software will be used to perform the function intended.  Examples of authorization include the execution of a contract with a third party to develop the software, approval of expenditures related to internal development or a commitment to obtain the software from a third party.</w:t>
      </w:r>
    </w:p>
    <w:p>
      <w:pPr>
        <w:pStyle w:val="Normal"/>
        <w:spacing w:lineRule="atLeast" w:line="240"/>
        <w:rPr>
          <w:color w:val="000080"/>
          <w:sz w:val="22"/>
          <w:szCs w:val="22"/>
        </w:rPr>
      </w:pPr>
      <w:r>
        <w:rPr>
          <w:color w:val="000080"/>
          <w:sz w:val="22"/>
          <w:szCs w:val="22"/>
        </w:rPr>
      </w:r>
    </w:p>
    <w:p>
      <w:pPr>
        <w:pStyle w:val="Normal"/>
        <w:spacing w:lineRule="atLeast" w:line="240"/>
        <w:rPr>
          <w:color w:val="000080"/>
          <w:sz w:val="22"/>
          <w:szCs w:val="22"/>
        </w:rPr>
      </w:pPr>
      <w:r>
        <w:rPr>
          <w:color w:val="000080"/>
          <w:sz w:val="22"/>
          <w:szCs w:val="22"/>
        </w:rPr>
        <w:t>The types of costs incurred to date for the Revenue Management Study appear to fit the description of preliminary project stage costs.</w:t>
      </w:r>
    </w:p>
    <w:p>
      <w:pPr>
        <w:pStyle w:val="Normal"/>
        <w:spacing w:lineRule="atLeast" w:line="240"/>
        <w:rPr>
          <w:color w:val="000080"/>
          <w:sz w:val="22"/>
          <w:szCs w:val="22"/>
        </w:rPr>
      </w:pPr>
      <w:r>
        <w:rPr>
          <w:color w:val="000080"/>
          <w:sz w:val="22"/>
          <w:szCs w:val="22"/>
        </w:rPr>
      </w:r>
    </w:p>
    <w:p>
      <w:pPr>
        <w:pStyle w:val="Normal"/>
        <w:spacing w:lineRule="atLeast" w:line="240"/>
        <w:rPr>
          <w:color w:val="000080"/>
          <w:sz w:val="22"/>
          <w:szCs w:val="22"/>
          <w:u w:val="single"/>
        </w:rPr>
      </w:pPr>
      <w:r>
        <w:rPr>
          <w:color w:val="000080"/>
          <w:sz w:val="22"/>
          <w:szCs w:val="22"/>
          <w:u w:val="single"/>
        </w:rPr>
        <w:t>Initial Implementation of SOP98-1</w:t>
      </w:r>
    </w:p>
    <w:p>
      <w:pPr>
        <w:pStyle w:val="Normal"/>
        <w:spacing w:lineRule="atLeast" w:line="240"/>
        <w:rPr>
          <w:color w:val="000080"/>
          <w:sz w:val="22"/>
          <w:szCs w:val="22"/>
          <w:u w:val="single"/>
        </w:rPr>
      </w:pPr>
      <w:r>
        <w:rPr>
          <w:color w:val="000080"/>
          <w:sz w:val="22"/>
          <w:szCs w:val="22"/>
          <w:u w:val="single"/>
        </w:rPr>
      </w:r>
    </w:p>
    <w:p>
      <w:pPr>
        <w:pStyle w:val="Normal"/>
        <w:spacing w:lineRule="atLeast" w:line="240"/>
        <w:rPr>
          <w:color w:val="000080"/>
          <w:sz w:val="22"/>
          <w:szCs w:val="22"/>
        </w:rPr>
      </w:pPr>
      <w:r>
        <w:rPr>
          <w:color w:val="000080"/>
          <w:sz w:val="22"/>
          <w:szCs w:val="22"/>
        </w:rPr>
        <w:t>Paragraph .42 describes the effective date and transition for implementation of SOP98-1:</w:t>
      </w:r>
    </w:p>
    <w:p>
      <w:pPr>
        <w:pStyle w:val="Normal"/>
        <w:spacing w:lineRule="atLeast" w:line="240"/>
        <w:rPr>
          <w:color w:val="000080"/>
          <w:sz w:val="22"/>
          <w:szCs w:val="22"/>
        </w:rPr>
      </w:pPr>
      <w:r>
        <w:rPr>
          <w:color w:val="000080"/>
          <w:sz w:val="22"/>
          <w:szCs w:val="22"/>
        </w:rPr>
      </w:r>
    </w:p>
    <w:p>
      <w:pPr>
        <w:pStyle w:val="Normal"/>
        <w:spacing w:lineRule="atLeast" w:line="240"/>
        <w:rPr>
          <w:color w:val="000080"/>
          <w:sz w:val="22"/>
          <w:szCs w:val="22"/>
        </w:rPr>
      </w:pPr>
      <w:r>
        <w:rPr>
          <w:color w:val="000080"/>
          <w:sz w:val="22"/>
          <w:szCs w:val="22"/>
        </w:rPr>
        <w:t>"This SOP is effective for financial statements for fiscal years beginning after December 15, 1998 and should be applied to internal-use computer software costs incurred in those fiscal years for all projects, including those projects in progress upon initial application of this SOP."</w:t>
      </w:r>
    </w:p>
    <w:p>
      <w:pPr>
        <w:pStyle w:val="Normal"/>
        <w:spacing w:lineRule="atLeast" w:line="240"/>
        <w:rPr>
          <w:color w:val="000080"/>
          <w:sz w:val="22"/>
          <w:szCs w:val="22"/>
        </w:rPr>
      </w:pPr>
      <w:r>
        <w:rPr>
          <w:color w:val="000080"/>
          <w:sz w:val="22"/>
          <w:szCs w:val="22"/>
        </w:rPr>
      </w:r>
    </w:p>
    <w:p>
      <w:pPr>
        <w:pStyle w:val="Normal"/>
        <w:spacing w:lineRule="atLeast" w:line="240"/>
        <w:rPr>
          <w:color w:val="000080"/>
          <w:sz w:val="22"/>
          <w:szCs w:val="22"/>
        </w:rPr>
      </w:pPr>
      <w:r>
        <w:rPr>
          <w:color w:val="000080"/>
          <w:sz w:val="22"/>
          <w:szCs w:val="22"/>
        </w:rPr>
        <w:t>Paragraph .43 prohibits changing the accounting for costs incurred in years prior to implementation of the SOP:</w:t>
      </w:r>
    </w:p>
    <w:p>
      <w:pPr>
        <w:pStyle w:val="Normal"/>
        <w:spacing w:lineRule="atLeast" w:line="240"/>
        <w:rPr>
          <w:color w:val="000080"/>
          <w:sz w:val="22"/>
          <w:szCs w:val="22"/>
        </w:rPr>
      </w:pPr>
      <w:r>
        <w:rPr>
          <w:color w:val="000080"/>
          <w:sz w:val="22"/>
          <w:szCs w:val="22"/>
        </w:rPr>
      </w:r>
    </w:p>
    <w:p>
      <w:pPr>
        <w:pStyle w:val="Normal"/>
        <w:spacing w:lineRule="atLeast" w:line="240"/>
        <w:rPr>
          <w:color w:val="000080"/>
          <w:sz w:val="22"/>
          <w:szCs w:val="22"/>
        </w:rPr>
      </w:pPr>
      <w:r>
        <w:rPr>
          <w:color w:val="000080"/>
          <w:sz w:val="22"/>
          <w:szCs w:val="22"/>
        </w:rPr>
        <w:t>"Costs incurred prior to initial application of this SOP, whether capitalized or not, should not be adjusted to the amounts that would have been capitalized had this SOP been in effect when those costs were incurred.  However, the provisions of this SOP concerning amortization and impairment should be applied to any unamortized costs capitalized prior to initial application of this SOP that continue to be reported as assets after the effective date."</w:t>
      </w:r>
    </w:p>
    <w:p>
      <w:pPr>
        <w:pStyle w:val="Normal"/>
        <w:spacing w:lineRule="atLeast" w:line="240"/>
        <w:rPr>
          <w:color w:val="000080"/>
          <w:sz w:val="22"/>
          <w:szCs w:val="22"/>
        </w:rPr>
      </w:pPr>
      <w:r>
        <w:rPr>
          <w:color w:val="000080"/>
          <w:sz w:val="22"/>
          <w:szCs w:val="22"/>
        </w:rPr>
      </w:r>
    </w:p>
    <w:p>
      <w:pPr>
        <w:pStyle w:val="Heading2"/>
        <w:ind w:hanging="0" w:start="0"/>
        <w:rPr/>
      </w:pPr>
      <w:r>
        <w:rPr/>
        <w:t>Implications</w:t>
      </w:r>
    </w:p>
    <w:p>
      <w:pPr>
        <w:pStyle w:val="Normal"/>
        <w:spacing w:lineRule="atLeast" w:line="240"/>
        <w:rPr>
          <w:color w:val="000080"/>
          <w:sz w:val="22"/>
          <w:szCs w:val="22"/>
        </w:rPr>
      </w:pPr>
      <w:r>
        <w:rPr>
          <w:color w:val="000080"/>
          <w:sz w:val="22"/>
          <w:szCs w:val="22"/>
        </w:rPr>
      </w:r>
    </w:p>
    <w:p>
      <w:pPr>
        <w:pStyle w:val="Normal"/>
        <w:spacing w:lineRule="atLeast" w:line="240"/>
        <w:rPr>
          <w:color w:val="000080"/>
          <w:sz w:val="22"/>
          <w:szCs w:val="22"/>
        </w:rPr>
      </w:pPr>
      <w:r>
        <w:rPr>
          <w:color w:val="000080"/>
          <w:sz w:val="22"/>
          <w:szCs w:val="22"/>
        </w:rPr>
        <w:t>I conclude from this that we should be able to retain pre-1999 costs in the project work order, although the costs incurred in 1999 need to be expensed as preliminary project stage costs.  The downside to this is that if no software development  project is ultimately authorized, we will need to write off the pre-1999 costs accumulated in the work order.  Paragraph .35 states:  "When it is no longer probable that computer software being developed will be completed and placed in service, the asset should be reported at the lower of the carrying amount or fair value, if any, less costs to sell.  The rebuttable presumption is that such uncompleted software has a fair value of zero."</w:t>
      </w:r>
    </w:p>
    <w:p>
      <w:pPr>
        <w:pStyle w:val="Body"/>
        <w:rPr>
          <w:color w:val="000080"/>
          <w:sz w:val="22"/>
          <w:szCs w:val="22"/>
        </w:rPr>
      </w:pPr>
      <w:r>
        <w:rPr>
          <w:color w:val="000080"/>
          <w:sz w:val="22"/>
          <w:szCs w:val="22"/>
        </w:rPr>
      </w:r>
    </w:p>
    <w:p>
      <w:pPr>
        <w:pStyle w:val="CopyList"/>
        <w:rPr>
          <w:color w:val="000080"/>
        </w:rPr>
      </w:pPr>
      <w:r>
        <w:rPr>
          <w:color w:val="000080"/>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szCs w:val="16"/>
      </w:rPr>
    </w:pPr>
    <w:r>
      <w:rPr>
        <w:b/>
        <w:bCs/>
        <w:sz w:val="16"/>
        <w:szCs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000-469-E(7/92)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bCs/>
                              <w:sz w:val="32"/>
                              <w:szCs w:val="32"/>
                            </w:rPr>
                          </w:pPr>
                          <w:r>
                            <w:rPr>
                              <w:b/>
                              <w:bCs/>
                              <w:sz w:val="32"/>
                              <w:szCs w:val="32"/>
                            </w:rPr>
                          </w:r>
                        </w:p>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r>
                  </w:p>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color w:val="000080"/>
      <w:sz w:val="22"/>
      <w:szCs w:val="22"/>
      <w:u w:val="single"/>
    </w:rPr>
  </w:style>
  <w:style w:type="paragraph" w:styleId="Heading2">
    <w:name w:val="heading 2"/>
    <w:basedOn w:val="Normal"/>
    <w:next w:val="Normal"/>
    <w:qFormat/>
    <w:pPr>
      <w:keepNext w:val="true"/>
      <w:numPr>
        <w:ilvl w:val="1"/>
        <w:numId w:val="1"/>
      </w:numPr>
      <w:spacing w:lineRule="atLeast" w:line="240"/>
      <w:outlineLvl w:val="1"/>
    </w:pPr>
    <w:rPr>
      <w:b/>
      <w:bCs/>
      <w:color w:val="000080"/>
      <w:sz w:val="22"/>
      <w:szCs w:val="22"/>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2"/>
      <w:szCs w:val="22"/>
    </w:rPr>
  </w:style>
  <w:style w:type="paragraph" w:styleId="Department">
    <w:name w:val="Department"/>
    <w:basedOn w:val="Normal"/>
    <w:qFormat/>
    <w:pPr>
      <w:tabs>
        <w:tab w:val="clear" w:pos="540"/>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Ene11mem.dot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1999-08-05T12:37:00Z</dcterms:created>
  <dc:creator>ET&amp;S</dc:creator>
  <dc:description/>
  <dc:language>en-CA</dc:language>
  <cp:lastModifiedBy>ET&amp;S</cp:lastModifiedBy>
  <cp:lastPrinted>1997-11-13T14:52:00Z</cp:lastPrinted>
  <dcterms:modified xsi:type="dcterms:W3CDTF">1999-08-26T19:45:00Z</dcterms:modified>
  <cp:revision>7</cp:revision>
  <dc:subject/>
  <dc:title>Better, Faster, Simpler Memo </dc:title>
</cp:coreProperties>
</file>