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rFonts w:ascii="Times New Roman" w:hAnsi="Times New Roman" w:cs="Times New Roman"/>
          <w:spacing w:val="-2"/>
          <w:sz w:val="26"/>
        </w:rPr>
      </w:pPr>
      <w:r>
        <w:rPr>
          <w:rFonts w:cs="Times New Roman" w:ascii="Times New Roman" w:hAnsi="Times New Roman"/>
          <w:b/>
          <w:spacing w:val="-3"/>
          <w:sz w:val="26"/>
        </w:rPr>
        <w:t>Confidentiality, Non-Competition, and Non-Solicitation Agreement</w:t>
      </w:r>
    </w:p>
    <w:p>
      <w:pPr>
        <w:pStyle w:val="Normal"/>
        <w:tabs>
          <w:tab w:val="clear" w:pos="720"/>
          <w:tab w:val="left" w:pos="-720" w:leader="none"/>
        </w:tabs>
        <w:suppressAutoHyphens w:val="true"/>
        <w:jc w:val="both"/>
        <w:rPr>
          <w:rFonts w:ascii="Times New Roman" w:hAnsi="Times New Roman" w:cs="Times New Roman"/>
          <w:spacing w:val="-2"/>
          <w:sz w:val="26"/>
        </w:rPr>
      </w:pPr>
      <w:r>
        <w:rPr>
          <w:rFonts w:cs="Times New Roman" w:ascii="Times New Roman" w:hAnsi="Times New Roman"/>
          <w:spacing w:val="-2"/>
          <w:sz w:val="26"/>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This Confidentiality, Non-Competition, and Non-Solicitation Agreement (“Agreement”) between </w:t>
      </w:r>
      <w:r>
        <w:rPr>
          <w:rFonts w:cs="Times New Roman" w:ascii="Times New Roman" w:hAnsi="Times New Roman"/>
          <w:b/>
          <w:bCs/>
          <w:spacing w:val="-2"/>
        </w:rPr>
        <w:t xml:space="preserve">NETCO </w:t>
      </w:r>
      <w:r>
        <w:rPr>
          <w:rFonts w:cs="Times New Roman" w:ascii="Times New Roman" w:hAnsi="Times New Roman"/>
          <w:spacing w:val="-2"/>
        </w:rPr>
        <w:t xml:space="preserve">and its affiliates (“Company”), a subsidiary of Enron Corp. (“Enron”) and </w:t>
      </w:r>
      <w:r>
        <w:rPr>
          <w:rFonts w:cs="Times New Roman" w:ascii="Times New Roman" w:hAnsi="Times New Roman"/>
          <w:b/>
          <w:bCs/>
          <w:spacing w:val="-2"/>
        </w:rPr>
        <w:t>Employee’s name</w:t>
      </w:r>
      <w:r>
        <w:rPr>
          <w:rFonts w:cs="Times New Roman" w:ascii="Times New Roman" w:hAnsi="Times New Roman"/>
          <w:spacing w:val="-2"/>
        </w:rPr>
        <w:t xml:space="preserve"> (“Employee”), is effective on the earlier of Employee’s first day of employment with Company or the date Employee signs this Agreement.  Company and Employee agree as follows: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1.1</w:t>
        <w:tab/>
      </w:r>
      <w:r>
        <w:rPr>
          <w:rFonts w:cs="Times New Roman" w:ascii="Times New Roman" w:hAnsi="Times New Roman"/>
          <w:u w:val="single"/>
        </w:rPr>
        <w:t>Confidential Information; Non-Disclosure.</w:t>
      </w:r>
      <w:r>
        <w:rPr>
          <w:rFonts w:cs="Times New Roman" w:ascii="Times New Roman" w:hAnsi="Times New Roman"/>
        </w:rPr>
        <w:t xml:space="preserve">  Company agrees to provide Employee with immediate access to Confidential Information relating to Company’s  business.  “Confidential Information” means and includes Company’s confidential and/or proprietary information and/or trade secrets that have been and/or will be developed or used and that cannot be obtained readily by third parties from outside sources.  Confidential Information includes, but is not limited to,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information concerning past, current, and prospective customers, investors, and business affiliates (such as contact name, service provided, pricing, type and amount of services used, financial data, and/or other such information); pricing strategies and price curves; positions; plans or strategies for expansion or acquisitions; budgets; research; weather data; emissions information; financial and sales data; trading methodologies and terms; communications information; evaluations, opinions, and interpretations of information and data; marketing and merchandising techniques; grids and maps; electronic databases; models; specifications; computer programs; contracts; bids or proposals; technologies and methods; training methods and processes; organizational structure; personnel information; payments or rates paid to consultants or other service providers; and other such confidential or proprietary information.  Employee acknowledges that Company’s business is highly competitive, that this Confidential Information constitutes a valuable, special, and unique asset used by Company in its business, and that protection of such Confidential Information against unauthorized disclosure and use is of critical importance to Company.  Employee also will have immediate access to, or knowledge of, Confidential Information of third parties, such as actual and potential</w:t>
      </w:r>
      <w:r>
        <w:rPr>
          <w:rFonts w:cs="Times New Roman" w:ascii="Times New Roman" w:hAnsi="Times New Roman"/>
          <w:b/>
        </w:rPr>
        <w:t xml:space="preserve"> </w:t>
      </w:r>
      <w:r>
        <w:rPr>
          <w:rFonts w:cs="Times New Roman" w:ascii="Times New Roman" w:hAnsi="Times New Roman"/>
        </w:rPr>
        <w:t xml:space="preserve">customers, suppliers, partners, joint venturers, investors, financing sources, etc., of Company.  Company agrees to and shall provide Employee with access to Confidential Information and highly specialized training regarding Company’s methodologies and business strategies, which will enable Employee to perform his or her job at Company.  Employee agrees that Employee will not, at any time during or after Employee’s employment with Company, make any unauthorized disclosure of any Confidential Information of Company, Enron, or third parties, or make any use thereof, except in working for Company. </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1.2</w:t>
        <w:tab/>
      </w:r>
      <w:r>
        <w:rPr>
          <w:rFonts w:cs="Times New Roman" w:ascii="Times New Roman" w:hAnsi="Times New Roman"/>
          <w:u w:val="single"/>
        </w:rPr>
        <w:t>Non-Competition Obligations</w:t>
      </w:r>
      <w:r>
        <w:rPr>
          <w:rFonts w:cs="Times New Roman" w:ascii="Times New Roman" w:hAnsi="Times New Roman"/>
        </w:rPr>
        <w:t>.  Immediately upon Employee’s signing of this Agreement, Company shall provide Employee with Confidential Information.  Ancillary to Company’s agreement to provide Confidential Information to Employee, Employee’s agreement not to disclose Confidential Information, and in order to protect the Confidential Information, Company and Employee agree to the following non-competition provisions.  Employee agrees that for a period 12 months following the execution of this agreement, Employee will not, directly or indirectly, for Employee or for others, anywhere in North America:</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hanging="720" w:start="720" w:end="0"/>
        <w:jc w:val="both"/>
        <w:rPr/>
      </w:pPr>
      <w:r>
        <w:rPr>
          <w:rFonts w:cs="Times New Roman" w:ascii="Times New Roman" w:hAnsi="Times New Roman"/>
          <w:spacing w:val="-2"/>
        </w:rPr>
        <w:tab/>
        <w:tab/>
        <w:t>a.</w:t>
        <w:tab/>
      </w:r>
      <w:r>
        <w:rPr>
          <w:rFonts w:cs="Times New Roman" w:ascii="Times New Roman" w:hAnsi="Times New Roman"/>
        </w:rPr>
        <w:t>engage in the business of buying, selling, trading, structuring, or executing transactions in commodities, assets, or products in which Company is doing business, has plans to engage in business, or has engaged in business in the preceding 12-month period, including, but not limited to, gas, electricity, transmission capacity, electronic commerce (including business-to-business electronic commerce), “click trading” or other commodities (including, without limitation, other energy commodities), or any futures, derivatives, or equities related to any of the foregoing, whether at wholesale or retail, or the development of systems, information technology, accounting, or risk management with respect to any of the foregoing</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spacing w:val="-2"/>
        </w:rPr>
      </w:pPr>
      <w:r>
        <w:rPr>
          <w:rFonts w:cs="Times New Roman" w:ascii="Times New Roman" w:hAnsi="Times New Roman"/>
          <w:spacing w:val="-2"/>
        </w:rPr>
        <w:tab/>
        <w:t>b.</w:t>
        <w:tab/>
        <w:t>engage in other types of business performed by Company, including the acquiring or disposing of assets or equity investments or providing or raising capital, through loans, equity, joint ventures, partnerships, working interests, production payments, credit or similar arrangements into products, commodities, futures, derivatives, or other items in which Company currently is engaging in business, has plans to engage in business, or has engaged in business in the preceding 12-month period;</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start="720" w:end="0"/>
        <w:jc w:val="both"/>
        <w:rPr>
          <w:rFonts w:ascii="Times New Roman" w:hAnsi="Times New Roman" w:cs="Times New Roman"/>
          <w:spacing w:val="-2"/>
        </w:rPr>
      </w:pPr>
      <w:r>
        <w:rPr>
          <w:rFonts w:cs="Times New Roman" w:ascii="Times New Roman" w:hAnsi="Times New Roman"/>
          <w:spacing w:val="-2"/>
        </w:rPr>
        <w:tab/>
        <w:t>c.</w:t>
        <w:tab/>
        <w:t>engage in activities relating to Enron’s business not described in parts a and b of this Article 3.4, to the extent that Employee has knowledge or information about such activities; or</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firstLine="720" w:start="720" w:end="0"/>
        <w:jc w:val="both"/>
        <w:rPr>
          <w:rFonts w:ascii="Times New Roman" w:hAnsi="Times New Roman" w:cs="Times New Roman"/>
          <w:spacing w:val="-2"/>
        </w:rPr>
      </w:pPr>
      <w:r>
        <w:rPr>
          <w:rFonts w:cs="Times New Roman" w:ascii="Times New Roman" w:hAnsi="Times New Roman"/>
          <w:spacing w:val="-2"/>
        </w:rPr>
        <w:t>d.</w:t>
        <w:tab/>
        <w:t>render advice or services to, or otherwise assist, any other person, association or entity in the business of a, b, or c above.</w:t>
      </w:r>
    </w:p>
    <w:p>
      <w:pPr>
        <w:pStyle w:val="Normal"/>
        <w:ind w:firstLine="720" w:start="720" w:end="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Employee agrees that Employee’s work for Company’s competitor at anytime in the following 12 month period  would inevitably lead to Employee’s unauthorized use of Company’s Confidential Information, even if such use is unintentional.  Because it would be impossible, as a practical matter, to monitor, restrain, or police Employee’s use of such Confidential Information other than by Employee’s not working for a competitor, Employee agrees that restricting such employment as set forth in this Agreement is the narrowest way to protect Company’s interests, and the narrowest way of enforcing Employee’s consideration for the receipt of Company’s specialized training and Confidential Information (namely, Employee’s promise not to use or disclose that Confidential Information/specialized training).</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1.3</w:t>
        <w:tab/>
      </w:r>
      <w:r>
        <w:rPr>
          <w:rFonts w:cs="Times New Roman" w:ascii="Times New Roman" w:hAnsi="Times New Roman"/>
          <w:spacing w:val="-2"/>
          <w:u w:val="single"/>
        </w:rPr>
        <w:t>Non-Solicitation of Customers</w:t>
      </w:r>
      <w:r>
        <w:rPr>
          <w:rFonts w:cs="Times New Roman" w:ascii="Times New Roman" w:hAnsi="Times New Roman"/>
          <w:spacing w:val="-2"/>
        </w:rPr>
        <w:t>.  For six months after Employee’s voluntary or involuntary termination of employment, Employee will not call on, service, or solicit competing business from customers of Company, Enron, or their affiliates if, within the twenty-four months before the termination of employment,  Employee (i) had or made contact with the customer, or (ii) had access to information and files about the customer.</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 xml:space="preserve"> </w:t>
      </w:r>
    </w:p>
    <w:p>
      <w:pPr>
        <w:pStyle w:val="Normal"/>
        <w:tabs>
          <w:tab w:val="clear" w:pos="720"/>
          <w:tab w:val="left" w:pos="-720" w:leader="none"/>
        </w:tabs>
        <w:suppressAutoHyphens w:val="true"/>
        <w:jc w:val="both"/>
        <w:rPr/>
      </w:pPr>
      <w:r>
        <w:rPr>
          <w:rFonts w:cs="Times New Roman" w:ascii="Times New Roman" w:hAnsi="Times New Roman"/>
          <w:spacing w:val="-2"/>
        </w:rPr>
        <w:tab/>
        <w:t>1.4</w:t>
        <w:tab/>
      </w:r>
      <w:r>
        <w:rPr>
          <w:rFonts w:cs="Times New Roman" w:ascii="Times New Roman" w:hAnsi="Times New Roman"/>
          <w:spacing w:val="-2"/>
          <w:u w:val="single"/>
        </w:rPr>
        <w:t>Non-Solicitation of Employees</w:t>
      </w:r>
      <w:r>
        <w:rPr>
          <w:rFonts w:cs="Times New Roman" w:ascii="Times New Roman" w:hAnsi="Times New Roman"/>
          <w:spacing w:val="-2"/>
        </w:rPr>
        <w:t>.  During Employee’s employment, and for a period of twelve months following Employee’s voluntary or involuntary termination of employment, Employee will not, directly or indirectly, call on, solicit, or induce any Company or Enron employee whom Employee had contact with, knowledge of, or association with in the course of employment with Company to terminate employment from Company or Enron, and will not assist any other person or entity in such activities.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1.5</w:t>
        <w:tab/>
      </w:r>
      <w:r>
        <w:rPr>
          <w:rFonts w:cs="Times New Roman" w:ascii="Times New Roman" w:hAnsi="Times New Roman"/>
          <w:spacing w:val="-2"/>
          <w:u w:val="single"/>
        </w:rPr>
        <w:t>Early Resolution Conference/Arbitration</w:t>
      </w:r>
      <w:r>
        <w:rPr>
          <w:rFonts w:cs="Times New Roman" w:ascii="Times New Roman" w:hAnsi="Times New Roman"/>
          <w:spacing w:val="-2"/>
        </w:rPr>
        <w:t>.  The parties are entering into this Agreement with the understanding that this Agreement is clear and enforceable.  If Employee decides to contend that any restriction on activities under this Agreement is not enforceable or does not apply to an activity Employee intends to pursue, Employee first will notify Company in writing and meet with a company representative at least fourteen days before engaging in any activity that foreseeably could fall within the questioned restriction to discuss the resolution of such claims (an “Early Resolution Conference”).  Should the parties not resolve the dispute at the Early Resolution Conference, the parties agree to use confidential, binding arbitration to resolve the dispute.  The arbitration shall be conducted in accordance with the Commercial Arbitration Rules of the American Arbitration Association before an arbitrator licensed to practice law in Texas.  Either party may seek a temporary restraining order, injunction, specific performance, or other equitable relief regarding the provisions of this Section if the other party fails to comply with obligations stated herein.</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 xml:space="preserve"> </w:t>
      </w:r>
    </w:p>
    <w:p>
      <w:pPr>
        <w:pStyle w:val="Heading1"/>
        <w:ind w:hanging="0" w:start="0"/>
        <w:jc w:val="both"/>
        <w:rPr>
          <w:rFonts w:ascii="Times New Roman" w:hAnsi="Times New Roman" w:cs="Times New Roman"/>
          <w:sz w:val="23"/>
        </w:rPr>
      </w:pPr>
      <w:r>
        <w:rPr>
          <w:rFonts w:cs="Times New Roman" w:ascii="Times New Roman" w:hAnsi="Times New Roman"/>
          <w:b/>
          <w:sz w:val="23"/>
        </w:rPr>
        <w:t>Article 2:  Miscellaneous</w:t>
      </w:r>
    </w:p>
    <w:p>
      <w:pPr>
        <w:pStyle w:val="Normal"/>
        <w:jc w:val="both"/>
        <w:rPr>
          <w:rFonts w:ascii="Times New Roman" w:hAnsi="Times New Roman" w:cs="Times New Roman"/>
          <w:sz w:val="23"/>
        </w:rPr>
      </w:pPr>
      <w:r>
        <w:rPr>
          <w:rFonts w:cs="Times New Roman" w:ascii="Times New Roman" w:hAnsi="Times New Roman"/>
          <w:sz w:val="23"/>
        </w:rPr>
      </w:r>
    </w:p>
    <w:p>
      <w:pPr>
        <w:pStyle w:val="Normal"/>
        <w:ind w:firstLine="720" w:end="0"/>
        <w:jc w:val="both"/>
        <w:rPr/>
      </w:pPr>
      <w:r>
        <w:rPr>
          <w:rFonts w:cs="Times New Roman" w:ascii="Times New Roman" w:hAnsi="Times New Roman"/>
        </w:rPr>
        <w:t>2.1</w:t>
        <w:tab/>
      </w:r>
      <w:r>
        <w:rPr>
          <w:rFonts w:cs="Times New Roman" w:ascii="Times New Roman" w:hAnsi="Times New Roman"/>
          <w:u w:val="single"/>
        </w:rPr>
        <w:t>Notices; Venue/Jurisdiction</w:t>
      </w:r>
      <w:r>
        <w:rPr>
          <w:rFonts w:cs="Times New Roman" w:ascii="Times New Roman" w:hAnsi="Times New Roman"/>
        </w:rPr>
        <w:t xml:space="preserve">.  Notices shall be in writing and shall be personally delivered or mailed by United States registered or certified mail.  Notices to Company shall be sent to </w:t>
      </w:r>
      <w:r>
        <w:rPr>
          <w:rFonts w:cs="Times New Roman" w:ascii="Times New Roman" w:hAnsi="Times New Roman"/>
          <w:spacing w:val="-2"/>
        </w:rPr>
        <w:t xml:space="preserve">Enron </w:t>
      </w:r>
      <w:r>
        <w:rPr>
          <w:rFonts w:cs="Times New Roman" w:ascii="Times New Roman" w:hAnsi="Times New Roman"/>
          <w:b/>
          <w:bCs/>
          <w:i/>
          <w:iCs/>
          <w:spacing w:val="-2"/>
        </w:rPr>
        <w:t>Company</w:t>
      </w:r>
      <w:r>
        <w:rPr>
          <w:rFonts w:cs="Times New Roman" w:ascii="Times New Roman" w:hAnsi="Times New Roman"/>
          <w:spacing w:val="-2"/>
        </w:rPr>
        <w:t>, 1400 Smith Street, Houston, Texas 77002,  Attention: Office of the Chairman.  Notices and communications to Employee shall be sent to the address Employee most recently provided to Company. This Agreement</w:t>
      </w:r>
      <w:r>
        <w:rPr>
          <w:rFonts w:cs="Times New Roman" w:ascii="Times New Roman" w:hAnsi="Times New Roman"/>
        </w:rPr>
        <w:t xml:space="preserve"> shall be governed by Texas law. </w:t>
      </w:r>
      <w:r>
        <w:rPr>
          <w:rFonts w:cs="Times New Roman" w:ascii="Times New Roman" w:hAnsi="Times New Roman"/>
          <w:spacing w:val="-2"/>
        </w:rPr>
        <w:t xml:space="preserve"> Any litigation that may be brought by either party involving this Agreement shall be brought exclusively in the State or federal courts sitting in Houston, Harris County, Texas.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2.2</w:t>
        <w:tab/>
      </w:r>
      <w:r>
        <w:rPr>
          <w:rFonts w:cs="Times New Roman" w:ascii="Times New Roman" w:hAnsi="Times New Roman"/>
          <w:spacing w:val="-2"/>
          <w:u w:val="single"/>
        </w:rPr>
        <w:t>No Waiver</w:t>
      </w:r>
      <w:r>
        <w:rPr>
          <w:rFonts w:cs="Times New Roman" w:ascii="Times New Roman" w:hAnsi="Times New Roman"/>
          <w:spacing w:val="-2"/>
        </w:rPr>
        <w:t>.  No failure</w:t>
      </w:r>
      <w:r>
        <w:rPr>
          <w:rFonts w:cs="Times New Roman" w:ascii="Times New Roman" w:hAnsi="Times New Roman"/>
        </w:rPr>
        <w:t xml:space="preserve"> by either party at any time to give notice of any breach by the other party of, or to require compliance with, any condition or provision of this Agreement shall be deemed a waiver of any provision or condition of this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2.3</w:t>
        <w:tab/>
      </w:r>
      <w:r>
        <w:rPr>
          <w:rFonts w:cs="Times New Roman" w:ascii="Times New Roman" w:hAnsi="Times New Roman"/>
          <w:spacing w:val="-2"/>
          <w:u w:val="single"/>
        </w:rPr>
        <w:t>Assignment</w:t>
      </w:r>
      <w:r>
        <w:rPr>
          <w:rFonts w:cs="Times New Roman" w:ascii="Times New Roman" w:hAnsi="Times New Roman"/>
          <w:spacing w:val="-2"/>
        </w:rPr>
        <w:t>.  This Agreement</w:t>
      </w:r>
      <w:r>
        <w:rPr>
          <w:rFonts w:cs="Times New Roman" w:ascii="Times New Roman" w:hAnsi="Times New Roman"/>
        </w:rPr>
        <w:t xml:space="preserve"> shall be binding upon and inure to the benefit of Company and any other person, association, or entity to which Company may assign this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2.4</w:t>
        <w:tab/>
      </w:r>
      <w:r>
        <w:rPr>
          <w:rFonts w:cs="Times New Roman" w:ascii="Times New Roman" w:hAnsi="Times New Roman"/>
          <w:spacing w:val="-2"/>
          <w:u w:val="single"/>
        </w:rPr>
        <w:t>Other Agreements</w:t>
      </w:r>
      <w:r>
        <w:rPr>
          <w:rFonts w:cs="Times New Roman" w:ascii="Times New Roman" w:hAnsi="Times New Roman"/>
          <w:spacing w:val="-2"/>
        </w:rPr>
        <w:t xml:space="preserve">.  </w:t>
      </w:r>
      <w:r>
        <w:rPr>
          <w:rFonts w:cs="Times New Roman" w:ascii="Times New Roman" w:hAnsi="Times New Roman"/>
          <w:b/>
          <w:bCs/>
          <w:i/>
          <w:iCs/>
          <w:spacing w:val="-2"/>
        </w:rPr>
        <w:t xml:space="preserve">[Draft] </w:t>
      </w:r>
      <w:r>
        <w:rPr>
          <w:rFonts w:cs="Times New Roman" w:ascii="Times New Roman" w:hAnsi="Times New Roman"/>
          <w:b/>
          <w:bCs/>
          <w:i/>
          <w:iCs/>
        </w:rPr>
        <w:t>Any modification of this Agreement will be effective only if it is in writing and signed by each party.  The parties agree that this is the entire agreement between the parties relative to non-competition obligations, confidential information and non-solicitation and replaces any previous agreements between employee and the company (or predecessor Companies, parents or affiliates). The employee further agrees to waive any rights, claims, entitlements, including but not limited to bonuses, equity awards or severance pay, whatsoever and howsoever arising under any previous agreement between the company or any predecessor company, parent or affiliate.</w:t>
      </w:r>
    </w:p>
    <w:p>
      <w:pPr>
        <w:pStyle w:val="Normal"/>
        <w:tabs>
          <w:tab w:val="clear" w:pos="720"/>
          <w:tab w:val="left" w:pos="-720" w:leader="none"/>
        </w:tabs>
        <w:suppressAutoHyphens w:val="true"/>
        <w:jc w:val="both"/>
        <w:rPr>
          <w:rFonts w:ascii="Times New Roman" w:hAnsi="Times New Roman" w:cs="Times New Roman"/>
          <w:b/>
          <w:bCs/>
          <w:i/>
          <w:i/>
          <w:iCs/>
          <w:spacing w:val="-2"/>
          <w:u w:val="single"/>
        </w:rPr>
      </w:pPr>
      <w:r>
        <w:rPr>
          <w:rFonts w:cs="Times New Roman" w:ascii="Times New Roman" w:hAnsi="Times New Roman"/>
          <w:b/>
          <w:bCs/>
          <w:i/>
          <w:iCs/>
          <w:spacing w:val="-2"/>
          <w:u w:val="single"/>
        </w:rPr>
      </w:r>
    </w:p>
    <w:p>
      <w:pPr>
        <w:pStyle w:val="Normal"/>
        <w:tabs>
          <w:tab w:val="clear" w:pos="720"/>
          <w:tab w:val="left" w:pos="-720" w:leader="none"/>
        </w:tabs>
        <w:suppressAutoHyphens w:val="true"/>
        <w:jc w:val="both"/>
        <w:rPr/>
      </w:pPr>
      <w:r>
        <w:rPr>
          <w:rFonts w:cs="Times New Roman" w:ascii="Times New Roman" w:hAnsi="Times New Roman"/>
          <w:spacing w:val="-2"/>
        </w:rPr>
        <w:tab/>
        <w:t>2.5</w:t>
        <w:tab/>
      </w:r>
      <w:r>
        <w:rPr>
          <w:rFonts w:cs="Times New Roman" w:ascii="Times New Roman" w:hAnsi="Times New Roman"/>
          <w:spacing w:val="-2"/>
          <w:u w:val="single"/>
        </w:rPr>
        <w:t>Invalidity</w:t>
      </w:r>
      <w:r>
        <w:rPr>
          <w:rFonts w:cs="Times New Roman" w:ascii="Times New Roman" w:hAnsi="Times New Roman"/>
          <w:spacing w:val="-2"/>
        </w:rPr>
        <w:t>.  Should any provision(s) in this Agreement be held by a court of competent jurisdiction to be invalid, void, or unenforceable, the remaining provisions shall be unaffected and shall continue in full force and effect, and the invalid, void or unenforceable provision(s) shall be deemed not to be part of this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Company and Employee have executed this Agreement by signing below.</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4320" w:leader="none"/>
          <w:tab w:val="left" w:pos="4680" w:leader="none"/>
          <w:tab w:val="left" w:pos="5040" w:leader="none"/>
        </w:tabs>
        <w:suppressAutoHyphens w:val="true"/>
        <w:jc w:val="both"/>
        <w:rPr>
          <w:rFonts w:ascii="Times New Roman" w:hAnsi="Times New Roman" w:cs="Times New Roman"/>
          <w:spacing w:val="-2"/>
        </w:rPr>
      </w:pPr>
      <w:r>
        <w:rPr>
          <w:rFonts w:cs="Times New Roman" w:ascii="Times New Roman" w:hAnsi="Times New Roman"/>
          <w:b/>
          <w:spacing w:val="-2"/>
        </w:rPr>
        <w:t>NETCO</w:t>
        <w:tab/>
        <w:tab/>
        <w:tab/>
        <w:tab/>
        <w:t>Employee’s name</w:t>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rPr>
      </w:pPr>
      <w:r>
        <w:rPr>
          <w:rFonts w:cs="Times New Roman" w:ascii="Times New Roman" w:hAnsi="Times New Roman"/>
          <w:spacing w:val="-2"/>
        </w:rPr>
        <w:t>By:</w:t>
        <w:tab/>
      </w:r>
      <w:r>
        <w:rPr>
          <w:rFonts w:cs="Times New Roman" w:ascii="Times New Roman" w:hAnsi="Times New Roman"/>
          <w:spacing w:val="-2"/>
          <w:u w:val="single"/>
        </w:rPr>
        <w:tab/>
      </w:r>
      <w:r>
        <w:rPr>
          <w:rFonts w:cs="Times New Roman" w:ascii="Times New Roman" w:hAnsi="Times New Roman"/>
          <w:spacing w:val="-2"/>
        </w:rPr>
        <w:tab/>
        <w:tab/>
        <w:tab/>
      </w:r>
      <w:r>
        <w:rPr>
          <w:rFonts w:cs="Times New Roman" w:ascii="Times New Roman" w:hAnsi="Times New Roman"/>
          <w:spacing w:val="-2"/>
          <w:u w:val="single"/>
        </w:rPr>
        <w:tab/>
        <w:tab/>
        <w:tab/>
        <w:tab/>
        <w:tab/>
      </w:r>
    </w:p>
    <w:p>
      <w:pPr>
        <w:pStyle w:val="Normal"/>
        <w:tabs>
          <w:tab w:val="clear" w:pos="720"/>
          <w:tab w:val="left" w:pos="-720" w:leader="none"/>
          <w:tab w:val="left" w:pos="540" w:leader="none"/>
          <w:tab w:val="left" w:pos="4500" w:leader="none"/>
          <w:tab w:val="left" w:pos="4680" w:leader="none"/>
          <w:tab w:val="left" w:pos="5760" w:leader="none"/>
          <w:tab w:val="left" w:pos="9270" w:leader="none"/>
        </w:tabs>
        <w:suppressAutoHyphens w:val="true"/>
        <w:jc w:val="both"/>
        <w:rPr/>
      </w:pPr>
      <w:r>
        <w:rPr>
          <w:rFonts w:cs="Times New Roman" w:ascii="Times New Roman" w:hAnsi="Times New Roman"/>
          <w:spacing w:val="-2"/>
        </w:rPr>
        <w:tab/>
        <w:t xml:space="preserve">Name:  </w:t>
      </w:r>
      <w:r>
        <w:rPr>
          <w:rFonts w:cs="Times New Roman" w:ascii="Times New Roman" w:hAnsi="Times New Roman"/>
          <w:spacing w:val="-2"/>
          <w:u w:val="single"/>
        </w:rPr>
        <w:tab/>
      </w:r>
      <w:r>
        <w:rPr>
          <w:rFonts w:cs="Times New Roman" w:ascii="Times New Roman" w:hAnsi="Times New Roman"/>
          <w:spacing w:val="-2"/>
        </w:rPr>
        <w:tab/>
        <w:tab/>
        <w:t>This ___ day of _____________, 2001</w:t>
      </w:r>
    </w:p>
    <w:p>
      <w:pPr>
        <w:pStyle w:val="Normal"/>
        <w:tabs>
          <w:tab w:val="clear" w:pos="720"/>
          <w:tab w:val="left" w:pos="-720" w:leader="none"/>
          <w:tab w:val="left" w:pos="540" w:leader="none"/>
          <w:tab w:val="left" w:pos="4500" w:leader="none"/>
          <w:tab w:val="left" w:pos="4680" w:leader="none"/>
          <w:tab w:val="left" w:pos="5760" w:leader="none"/>
          <w:tab w:val="left" w:pos="9270" w:leader="none"/>
        </w:tabs>
        <w:suppressAutoHyphens w:val="true"/>
        <w:jc w:val="both"/>
        <w:rPr/>
      </w:pPr>
      <w:r>
        <w:rPr>
          <w:rFonts w:cs="Times New Roman" w:ascii="Times New Roman" w:hAnsi="Times New Roman"/>
          <w:spacing w:val="-2"/>
        </w:rPr>
        <w:tab/>
        <w:t xml:space="preserve">Title:  </w:t>
      </w:r>
      <w:r>
        <w:rPr>
          <w:rFonts w:cs="Times New Roman" w:ascii="Times New Roman" w:hAnsi="Times New Roman"/>
          <w:spacing w:val="-2"/>
          <w:u w:val="single"/>
        </w:rPr>
        <w:tab/>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tab/>
        <w:t>This ___ day of ________________, 2001</w:t>
      </w:r>
    </w:p>
    <w:sectPr>
      <w:headerReference w:type="default" r:id="rId2"/>
      <w:footerReference w:type="default" r:id="rId3"/>
      <w:type w:val="nextPage"/>
      <w:pgSz w:w="12240" w:h="15840"/>
      <w:pgMar w:left="1152" w:right="1152" w:gutter="0" w:header="432" w:top="576" w:footer="432" w:bottom="4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4"/>
      </w:rPr>
      <w:t>5671mhc.doc</w:t>
      <w:tab/>
    </w:r>
    <w:r>
      <w:rPr>
        <w:rFonts w:cs="Times New Roman" w:ascii="Times New Roman" w:hAnsi="Times New Roman"/>
        <w:spacing w:val="-2"/>
        <w:sz w:val="19"/>
      </w:rPr>
      <w:t>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3</w:t>
    </w:r>
    <w:r>
      <w:rPr>
        <w:sz w:val="19"/>
        <w:spacing w:val="-2"/>
        <w:rFonts w:cs="Times New Roman" w:ascii="Times New Roman" w:hAnsi="Times New Roman"/>
      </w:rPr>
      <w:fldChar w:fldCharType="end"/>
    </w:r>
    <w:r>
      <w:rPr>
        <w:rFonts w:cs="Times New Roman" w:ascii="Times New Roman" w:hAnsi="Times New Roman"/>
        <w:spacing w:val="-2"/>
        <w:sz w:val="19"/>
      </w:rPr>
      <w:t>-</w:t>
    </w:r>
  </w:p>
  <w:p>
    <w:pPr>
      <w:pStyle w:val="Footer"/>
      <w:rPr>
        <w:rFonts w:ascii="Times New Roman" w:hAnsi="Times New Roman" w:cs="Times New Roman"/>
        <w:spacing w:val="-2"/>
        <w:sz w:val="12"/>
      </w:rPr>
    </w:pPr>
    <w:r>
      <w:rPr>
        <w:rFonts w:cs="Times New Roman" w:ascii="Times New Roman" w:hAnsi="Times New Roman"/>
        <w:spacing w:val="-2"/>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900" w:leader="none"/>
      </w:tabs>
      <w:suppressAutoHyphens w:val="true"/>
      <w:jc w:val="both"/>
      <w:rPr>
        <w:rFonts w:ascii="Times New Roman" w:hAnsi="Times New Roman" w:cs="Times New Roman"/>
        <w:spacing w:val="-2"/>
      </w:rPr>
    </w:pPr>
    <w:r>
      <w:rPr>
        <w:b/>
        <w:spacing w:val="-2"/>
        <w:sz w:val="18"/>
      </w:rPr>
      <w:tab/>
      <w:t xml:space="preserve"> </w:t>
    </w:r>
    <w:r>
      <w:rPr>
        <w:rFonts w:cs="Times New Roman" w:ascii="Times New Roman" w:hAnsi="Times New Roman"/>
        <w:b/>
        <w:spacing w:val="-2"/>
        <w:sz w:val="18"/>
      </w:rPr>
      <w:t>10/10/01</w:t>
    </w:r>
  </w:p>
  <w:p>
    <w:pPr>
      <w:pStyle w:val="Normal"/>
      <w:spacing w:lineRule="exact" w:line="200" w:before="0" w:after="356"/>
      <w:rPr>
        <w:sz w:val="10"/>
      </w:rPr>
    </w:pPr>
    <w:r>
      <w:rPr>
        <w:sz w:val="10"/>
      </w:rPr>
      <w:tab/>
      <w:tab/>
      <w:tab/>
      <w:tab/>
      <w:tab/>
      <w:tab/>
      <w:tab/>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3"/>
      <w:szCs w:val="20"/>
      <w:lang w:val="en-US" w:bidi="ar-SA" w:eastAsia="zh-CN"/>
    </w:rPr>
  </w:style>
  <w:style w:type="paragraph" w:styleId="Heading1">
    <w:name w:val="heading 1"/>
    <w:basedOn w:val="Normal"/>
    <w:next w:val="Normal"/>
    <w:qFormat/>
    <w:pPr>
      <w:numPr>
        <w:ilvl w:val="0"/>
        <w:numId w:val="1"/>
      </w:numPr>
      <w:outlineLvl w:val="0"/>
    </w:pPr>
    <w:rPr>
      <w:sz w:val="24"/>
    </w:rPr>
  </w:style>
  <w:style w:type="paragraph" w:styleId="Heading2">
    <w:name w:val="heading 2"/>
    <w:basedOn w:val="Normal"/>
    <w:next w:val="Normal"/>
    <w:qFormat/>
    <w:pPr>
      <w:numPr>
        <w:ilvl w:val="1"/>
        <w:numId w:val="1"/>
      </w:numPr>
      <w:outlineLvl w:val="1"/>
    </w:pPr>
    <w:rPr>
      <w:sz w:val="24"/>
    </w:rPr>
  </w:style>
  <w:style w:type="paragraph" w:styleId="Heading3">
    <w:name w:val="heading 3"/>
    <w:basedOn w:val="Normal"/>
    <w:next w:val="Normal"/>
    <w:qFormat/>
    <w:pPr>
      <w:numPr>
        <w:ilvl w:val="2"/>
        <w:numId w:val="1"/>
      </w:numPr>
      <w:outlineLvl w:val="2"/>
    </w:pPr>
    <w:rPr>
      <w:sz w:val="24"/>
    </w:rPr>
  </w:style>
  <w:style w:type="paragraph" w:styleId="Heading4">
    <w:name w:val="heading 4"/>
    <w:basedOn w:val="Normal"/>
    <w:next w:val="Normal"/>
    <w:qFormat/>
    <w:pPr>
      <w:numPr>
        <w:ilvl w:val="3"/>
        <w:numId w:val="1"/>
      </w:numPr>
      <w:outlineLvl w:val="3"/>
    </w:pPr>
    <w:rPr>
      <w:sz w:val="24"/>
    </w:rPr>
  </w:style>
  <w:style w:type="paragraph" w:styleId="Heading5">
    <w:name w:val="heading 5"/>
    <w:basedOn w:val="Normal"/>
    <w:next w:val="Normal"/>
    <w:qFormat/>
    <w:pPr>
      <w:numPr>
        <w:ilvl w:val="4"/>
        <w:numId w:val="1"/>
      </w:numPr>
      <w:outlineLvl w:val="4"/>
    </w:pPr>
    <w:rPr>
      <w:sz w:val="24"/>
    </w:rPr>
  </w:style>
  <w:style w:type="paragraph" w:styleId="Heading6">
    <w:name w:val="heading 6"/>
    <w:basedOn w:val="Normal"/>
    <w:next w:val="Normal"/>
    <w:qFormat/>
    <w:pPr>
      <w:numPr>
        <w:ilvl w:val="5"/>
        <w:numId w:val="1"/>
      </w:numPr>
      <w:outlineLvl w:val="5"/>
    </w:pPr>
    <w:rPr>
      <w:sz w:val="24"/>
    </w:rPr>
  </w:style>
  <w:style w:type="paragraph" w:styleId="Heading7">
    <w:name w:val="heading 7"/>
    <w:basedOn w:val="Normal"/>
    <w:next w:val="Normal"/>
    <w:qFormat/>
    <w:pPr>
      <w:numPr>
        <w:ilvl w:val="6"/>
        <w:numId w:val="1"/>
      </w:numPr>
      <w:outlineLvl w:val="6"/>
    </w:pPr>
    <w:rPr>
      <w:sz w:val="24"/>
    </w:rPr>
  </w:style>
  <w:style w:type="paragraph" w:styleId="Heading8">
    <w:name w:val="heading 8"/>
    <w:basedOn w:val="Normal"/>
    <w:next w:val="Normal"/>
    <w:qFormat/>
    <w:pPr>
      <w:numPr>
        <w:ilvl w:val="7"/>
        <w:numId w:val="1"/>
      </w:numPr>
      <w:outlineLvl w:val="7"/>
    </w:pPr>
    <w:rPr>
      <w:sz w:val="24"/>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IGHLIGHT1">
    <w:name w:val="HIGHLIGHT 1"/>
    <w:basedOn w:val="DefaultParagraphFont"/>
    <w:qFormat/>
    <w:rPr>
      <w:rFonts w:ascii="CG Times" w:hAnsi="CG Times" w:cs="CG Times"/>
      <w:b/>
      <w:i/>
      <w:sz w:val="23"/>
      <w:lang w:val="en-US"/>
    </w:rPr>
  </w:style>
  <w:style w:type="character" w:styleId="TITLE">
    <w:name w:val="TITLE"/>
    <w:basedOn w:val="DefaultParagraphFont"/>
    <w:qFormat/>
    <w:rPr>
      <w:b/>
      <w:sz w:val="35"/>
    </w:rPr>
  </w:style>
  <w:style w:type="character" w:styleId="BLOCKQUOTE">
    <w:name w:val="BLOCK QUOTE"/>
    <w:basedOn w:val="DefaultParagraphFont"/>
    <w:qFormat/>
    <w:rPr/>
  </w:style>
  <w:style w:type="character" w:styleId="HEADING11">
    <w:name w:val="HEADING 11"/>
    <w:basedOn w:val="DefaultParagraphFont"/>
    <w:qFormat/>
    <w:rPr>
      <w:rFonts w:ascii="CG Times" w:hAnsi="CG Times" w:cs="CG Times"/>
      <w:b/>
      <w:sz w:val="28"/>
      <w:lang w:val="en-US"/>
    </w:rPr>
  </w:style>
  <w:style w:type="character" w:styleId="HEADING21">
    <w:name w:val="HEADING 21"/>
    <w:basedOn w:val="DefaultParagraphFont"/>
    <w:qFormat/>
    <w:rPr>
      <w:sz w:val="28"/>
      <w:u w:val="single"/>
    </w:rPr>
  </w:style>
  <w:style w:type="character" w:styleId="HEADING31">
    <w:name w:val="HEADING 31"/>
    <w:basedOn w:val="DefaultParagraphFont"/>
    <w:qFormat/>
    <w:rPr>
      <w:rFonts w:ascii="CG Times" w:hAnsi="CG Times" w:cs="CG Times"/>
      <w:b/>
      <w:sz w:val="23"/>
      <w:lang w:val="en-US"/>
    </w:rPr>
  </w:style>
  <w:style w:type="character" w:styleId="HIGHLIGHT2">
    <w:name w:val="HIGHLIGHT 2"/>
    <w:basedOn w:val="DefaultParagraphFont"/>
    <w:qFormat/>
    <w:rPr>
      <w:rFonts w:ascii="CG Times" w:hAnsi="CG Times" w:cs="CG Times"/>
      <w:b/>
      <w:sz w:val="28"/>
      <w:lang w:val="en-US"/>
    </w:rPr>
  </w:style>
  <w:style w:type="character" w:styleId="HIGHLIGHT3">
    <w:name w:val="HIGHLIGHT 3"/>
    <w:basedOn w:val="DefaultParagraphFont"/>
    <w:qFormat/>
    <w:rPr>
      <w:sz w:val="28"/>
      <w:u w:val="single"/>
    </w:rPr>
  </w:style>
  <w:style w:type="character" w:styleId="FOOTNOTE">
    <w:name w:val="FOOTNOTE"/>
    <w:basedOn w:val="DefaultParagraphFont"/>
    <w:qFormat/>
    <w:rPr>
      <w:rFonts w:ascii="CG Times" w:hAnsi="CG Times" w:cs="CG Times"/>
      <w:sz w:val="18"/>
      <w:lang w:val="en-US"/>
    </w:rPr>
  </w:style>
  <w:style w:type="character" w:styleId="DRAFTON">
    <w:name w:val="DRAFT ON"/>
    <w:basedOn w:val="DefaultParagraphFont"/>
    <w:qFormat/>
    <w:rPr>
      <w:rFonts w:ascii="CG Times" w:hAnsi="CG Times" w:cs="CG Times"/>
      <w:sz w:val="23"/>
      <w:lang w:val="en-US"/>
    </w:rPr>
  </w:style>
  <w:style w:type="character" w:styleId="DRAFTOFF">
    <w:name w:val="DRAFT OFF"/>
    <w:basedOn w:val="DefaultParagraphFont"/>
    <w:qFormat/>
    <w:rPr/>
  </w:style>
  <w:style w:type="character" w:styleId="HEADER1">
    <w:name w:val="HEADER1"/>
    <w:basedOn w:val="DefaultParagraphFont"/>
    <w:qFormat/>
    <w:rPr>
      <w:rFonts w:ascii="CG Times" w:hAnsi="CG Times" w:cs="CG Times"/>
      <w:sz w:val="23"/>
      <w:lang w:val="en-US"/>
    </w:rPr>
  </w:style>
  <w:style w:type="character" w:styleId="LETTERLAND">
    <w:name w:val="LETTER LAND"/>
    <w:basedOn w:val="DefaultParagraphFont"/>
    <w:qFormat/>
    <w:rPr>
      <w:rFonts w:ascii="CG Times" w:hAnsi="CG Times" w:cs="CG Times"/>
      <w:sz w:val="23"/>
      <w:lang w:val="en-US"/>
    </w:rPr>
  </w:style>
  <w:style w:type="character" w:styleId="LEGALLAND">
    <w:name w:val="LEGAL LAND"/>
    <w:basedOn w:val="DefaultParagraphFont"/>
    <w:qFormat/>
    <w:rPr>
      <w:rFonts w:ascii="CG Times" w:hAnsi="CG Times" w:cs="CG Times"/>
      <w:sz w:val="23"/>
      <w:lang w:val="en-US"/>
    </w:rPr>
  </w:style>
  <w:style w:type="character" w:styleId="LETTERPORT">
    <w:name w:val="LETTER PORT"/>
    <w:basedOn w:val="DefaultParagraphFont"/>
    <w:qFormat/>
    <w:rPr>
      <w:rFonts w:ascii="CG Times" w:hAnsi="CG Times" w:cs="CG Times"/>
      <w:sz w:val="23"/>
      <w:lang w:val="en-US"/>
    </w:rPr>
  </w:style>
  <w:style w:type="character" w:styleId="LEGALPORT">
    <w:name w:val="LEGAL PORT"/>
    <w:basedOn w:val="DefaultParagraphFont"/>
    <w:qFormat/>
    <w:rPr>
      <w:rFonts w:ascii="CG Times" w:hAnsi="CG Times" w:cs="CG Times"/>
      <w:sz w:val="23"/>
      <w:lang w:val="en-US"/>
    </w:rPr>
  </w:style>
  <w:style w:type="character" w:styleId="FOOTER1">
    <w:name w:val="FOOTER1"/>
    <w:basedOn w:val="DefaultParagraphFont"/>
    <w:qFormat/>
    <w:rPr>
      <w:rFonts w:ascii="CG Times" w:hAnsi="CG Times" w:cs="CG Times"/>
      <w:sz w:val="23"/>
      <w:lang w:val="en-US"/>
    </w:rPr>
  </w:style>
  <w:style w:type="character" w:styleId="LETTERHEAD">
    <w:name w:val="LETTERHEAD"/>
    <w:basedOn w:val="DefaultParagraphFont"/>
    <w:qFormat/>
    <w:rPr/>
  </w:style>
  <w:style w:type="character" w:styleId="MEMORANDUM">
    <w:name w:val="MEMORANDUM"/>
    <w:basedOn w:val="DefaultParagraphFont"/>
    <w:qFormat/>
    <w:rPr>
      <w:sz w:val="23"/>
    </w:rPr>
  </w:style>
  <w:style w:type="character" w:styleId="INVOICEHEAD">
    <w:name w:val="INVOICE HEAD"/>
    <w:basedOn w:val="DefaultParagraphFont"/>
    <w:qFormat/>
    <w:rPr>
      <w:rFonts w:ascii="CG Times" w:hAnsi="CG Times" w:cs="CG Times"/>
      <w:sz w:val="23"/>
      <w:lang w:val="en-US"/>
    </w:rPr>
  </w:style>
  <w:style w:type="character" w:styleId="NORMAL1">
    <w:name w:val="NORMAL1"/>
    <w:basedOn w:val="DefaultParagraphFont"/>
    <w:qFormat/>
    <w:rPr>
      <w:rFonts w:ascii="CG Times" w:hAnsi="CG Times" w:cs="CG Times"/>
      <w:sz w:val="23"/>
      <w:lang w:val="en-US"/>
    </w:rPr>
  </w:style>
  <w:style w:type="character" w:styleId="SMALL">
    <w:name w:val="SMALL"/>
    <w:basedOn w:val="DefaultParagraphFont"/>
    <w:qFormat/>
    <w:rPr>
      <w:rFonts w:ascii="CG Times" w:hAnsi="CG Times" w:cs="CG Times"/>
      <w:sz w:val="18"/>
      <w:lang w:val="en-US"/>
    </w:rPr>
  </w:style>
  <w:style w:type="character" w:styleId="FINE">
    <w:name w:val="FINE"/>
    <w:basedOn w:val="DefaultParagraphFont"/>
    <w:qFormat/>
    <w:rPr>
      <w:rFonts w:ascii="CG Times" w:hAnsi="CG Times" w:cs="CG Times"/>
      <w:sz w:val="14"/>
      <w:lang w:val="en-US"/>
    </w:rPr>
  </w:style>
  <w:style w:type="character" w:styleId="LARGE">
    <w:name w:val="LARGE"/>
    <w:basedOn w:val="DefaultParagraphFont"/>
    <w:qFormat/>
    <w:rPr>
      <w:rFonts w:ascii="CG Times" w:hAnsi="CG Times" w:cs="CG Times"/>
      <w:sz w:val="28"/>
      <w:lang w:val="en-US"/>
    </w:rPr>
  </w:style>
  <w:style w:type="character" w:styleId="EXTRALARGE">
    <w:name w:val="EXTRA LARGE"/>
    <w:basedOn w:val="DefaultParagraphFont"/>
    <w:qFormat/>
    <w:rPr>
      <w:rFonts w:ascii="CG Times" w:hAnsi="CG Times" w:cs="CG Times"/>
      <w:sz w:val="46"/>
      <w:lang w:val="en-US"/>
    </w:rPr>
  </w:style>
  <w:style w:type="character" w:styleId="VERYLARGE">
    <w:name w:val="VERY LARGE"/>
    <w:basedOn w:val="DefaultParagraphFont"/>
    <w:qFormat/>
    <w:rPr>
      <w:rFonts w:ascii="CG Times" w:hAnsi="CG Times" w:cs="CG Times"/>
      <w:sz w:val="35"/>
      <w:lang w:val="en-US"/>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G Times" w:hAnsi="CG Times" w:eastAsia="Times New Roman" w:cs="CG Times"/>
      <w:color w:val="auto"/>
      <w:sz w:val="23"/>
      <w:szCs w:val="20"/>
      <w:lang w:val="en-US" w:bidi="ar-SA" w:eastAsia="zh-CN"/>
    </w:rPr>
  </w:style>
  <w:style w:type="paragraph" w:styleId="INVOICEEXP">
    <w:name w:val="INVOICE EXP"/>
    <w:qFormat/>
    <w:pPr>
      <w:widowControl/>
      <w:tabs>
        <w:tab w:val="clear" w:pos="720"/>
        <w:tab w:val="left" w:pos="-5832" w:leader="none"/>
        <w:tab w:val="left" w:pos="-4248" w:leader="none"/>
        <w:tab w:val="decimal" w:pos="5184" w:leader="none"/>
      </w:tabs>
      <w:suppressAutoHyphens w:val="true"/>
      <w:bidi w:val="0"/>
    </w:pPr>
    <w:rPr>
      <w:rFonts w:ascii="CG Times" w:hAnsi="CG Times" w:eastAsia="Times New Roman" w:cs="CG Times"/>
      <w:color w:val="auto"/>
      <w:sz w:val="23"/>
      <w:szCs w:val="20"/>
      <w:lang w:val="en-US" w:bidi="ar-SA" w:eastAsia="zh-CN"/>
    </w:rPr>
  </w:style>
  <w:style w:type="paragraph" w:styleId="INVOICETOT">
    <w:name w:val="INVOICE TOT"/>
    <w:qFormat/>
    <w:pPr>
      <w:widowControl/>
      <w:tabs>
        <w:tab w:val="clear" w:pos="720"/>
        <w:tab w:val="left" w:pos="-5832" w:leader="none"/>
        <w:tab w:val="left" w:pos="-4248" w:leader="none"/>
        <w:tab w:val="decimal" w:pos="5184" w:leader="none"/>
      </w:tabs>
      <w:suppressAutoHyphens w:val="true"/>
      <w:bidi w:val="0"/>
    </w:pPr>
    <w:rPr>
      <w:rFonts w:ascii="CG Times" w:hAnsi="CG Times" w:eastAsia="Times New Roman" w:cs="CG Times"/>
      <w:color w:val="auto"/>
      <w:sz w:val="23"/>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1008"/>
    </w:pPr>
    <w:rPr>
      <w:rFonts w:ascii="CG Times" w:hAnsi="CG Times" w:eastAsia="Times New Roman" w:cs="CG Times"/>
      <w:color w:val="auto"/>
      <w:sz w:val="23"/>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EEATRADT.DOT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2001-12-17T22:33:00Z</dcterms:created>
  <dc:creator>Enron</dc:creator>
  <dc:description/>
  <dc:language>en-CA</dc:language>
  <cp:lastModifiedBy>David Oxley</cp:lastModifiedBy>
  <cp:lastPrinted>2001-10-04T15:11:00Z</cp:lastPrinted>
  <dcterms:modified xsi:type="dcterms:W3CDTF">2001-12-17T22:33:00Z</dcterms:modified>
  <cp:revision>2</cp:revision>
  <dc:subject/>
  <dc:title>	EXECUTIVE EMPLOYMENT AGREEMENT</dc:title>
</cp:coreProperties>
</file>