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theme/theme1.xml" ContentType="application/vnd.openxmlformats-officedocument.theme+xml"/>
  <Override PartName="/word/footer5.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footer8.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color w:val="FF0000"/>
        </w:rPr>
      </w:pPr>
      <w:r>
        <w:rPr>
          <w:color w:val="FF0000"/>
        </w:rPr>
        <w:t>THIS FORM SHOULD ONLY BE USED FOR CUSTOMERS WHO WOULD REASONABLY BE EXPECTED TO CONSUME MORE THAN 250 MWH IN A YEAR</w:t>
      </w:r>
    </w:p>
    <w:p>
      <w:pPr>
        <w:pStyle w:val="Heading"/>
        <w:rPr>
          <w:color w:val="FF0000"/>
        </w:rPr>
      </w:pPr>
      <w:r>
        <w:rPr>
          <w:color w:val="FF0000"/>
        </w:rPr>
      </w:r>
    </w:p>
    <w:p>
      <w:pPr>
        <w:pStyle w:val="Heading"/>
        <w:rPr/>
      </w:pPr>
      <w:r>
        <w:rPr/>
        <w:t xml:space="preserve">APPLICATION FOR ELECTRICITY SUPPLY </w:t>
        <w:br/>
        <w:t>(the “Application”)</w:t>
      </w:r>
    </w:p>
    <w:p>
      <w:pPr>
        <w:pStyle w:val="Normal"/>
        <w:spacing w:before="0" w:after="0"/>
        <w:jc w:val="center"/>
        <w:rPr>
          <w:b/>
        </w:rPr>
      </w:pPr>
      <w:r>
        <w:rPr>
          <w:b/>
        </w:rPr>
        <w:t>ENRON DIRECT LIMITED PARTNERSHIP</w:t>
      </w:r>
    </w:p>
    <w:p>
      <w:pPr>
        <w:pStyle w:val="Normal"/>
        <w:spacing w:before="0" w:after="0"/>
        <w:jc w:val="center"/>
        <w:rPr>
          <w:sz w:val="18"/>
        </w:rPr>
      </w:pPr>
      <w:r>
        <w:rPr>
          <w:sz w:val="18"/>
        </w:rPr>
        <w:t>3500 Canterra Tower</w:t>
      </w:r>
    </w:p>
    <w:p>
      <w:pPr>
        <w:pStyle w:val="Normal"/>
        <w:spacing w:before="0" w:after="0"/>
        <w:jc w:val="center"/>
        <w:rPr/>
      </w:pPr>
      <w:r>
        <w:rPr>
          <w:sz w:val="18"/>
        </w:rPr>
        <w:t>400 – 3</w:t>
      </w:r>
      <w:r>
        <w:rPr>
          <w:sz w:val="18"/>
          <w:vertAlign w:val="superscript"/>
        </w:rPr>
        <w:t>rd</w:t>
      </w:r>
      <w:r>
        <w:rPr>
          <w:sz w:val="18"/>
        </w:rPr>
        <w:t xml:space="preserve"> Avenue S.W.</w:t>
      </w:r>
    </w:p>
    <w:p>
      <w:pPr>
        <w:pStyle w:val="Normal"/>
        <w:spacing w:before="0" w:after="0"/>
        <w:jc w:val="center"/>
        <w:rPr>
          <w:sz w:val="18"/>
        </w:rPr>
      </w:pPr>
      <w:r>
        <w:rPr>
          <w:sz w:val="18"/>
        </w:rPr>
        <w:t>Calgary, Alberta  T2P 4H2</w:t>
      </w:r>
    </w:p>
    <w:p>
      <w:pPr>
        <w:pStyle w:val="Normal"/>
        <w:spacing w:before="0" w:after="0"/>
        <w:jc w:val="center"/>
        <w:rPr>
          <w:sz w:val="18"/>
        </w:rPr>
      </w:pPr>
      <w:r>
        <w:rPr>
          <w:sz w:val="18"/>
        </w:rPr>
        <w:t>Telephone: (403) 974-6700  Facsimile: (403) 974-6991</w:t>
      </w:r>
    </w:p>
    <w:p>
      <w:pPr>
        <w:pStyle w:val="Normal"/>
        <w:spacing w:before="240" w:after="240"/>
        <w:rPr/>
      </w:pPr>
      <w:r>
        <w:rPr>
          <w:sz w:val="20"/>
        </w:rPr>
        <w:t>____________________________________, (the “</w:t>
      </w:r>
      <w:r>
        <w:rPr>
          <w:b/>
          <w:sz w:val="20"/>
        </w:rPr>
        <w:t>Customer</w:t>
      </w:r>
      <w:r>
        <w:rPr>
          <w:sz w:val="20"/>
        </w:rPr>
        <w:t>”) HEREBY APPLIES TO Enron Direct Limited Partnership, acting through its general partner Enron Direct Canada Corp. ("</w:t>
      </w:r>
      <w:r>
        <w:rPr>
          <w:b/>
          <w:sz w:val="20"/>
        </w:rPr>
        <w:t>Enron Direct</w:t>
      </w:r>
      <w:r>
        <w:rPr>
          <w:sz w:val="20"/>
        </w:rPr>
        <w:t>"), in order for Enron Direct to facilitate the supply of all the electricity for the location indicated below (the "</w:t>
      </w:r>
      <w:r>
        <w:rPr>
          <w:b/>
          <w:sz w:val="20"/>
        </w:rPr>
        <w:t>Service Address</w:t>
      </w:r>
      <w:r>
        <w:rPr>
          <w:sz w:val="20"/>
        </w:rPr>
        <w:t>") on the terms and conditions set out in this Application and the terms and conditions attached to this Application (the "</w:t>
      </w:r>
      <w:r>
        <w:rPr>
          <w:b/>
          <w:sz w:val="20"/>
        </w:rPr>
        <w:t>Terms and Conditions</w:t>
      </w:r>
      <w:r>
        <w:rPr>
          <w:sz w:val="20"/>
        </w:rPr>
        <w:t xml:space="preserve">") for the number of years commencing from the </w:t>
      </w:r>
      <w:r>
        <w:rPr>
          <w:b/>
          <w:sz w:val="20"/>
        </w:rPr>
        <w:t xml:space="preserve">Start Date </w:t>
      </w:r>
      <w:r>
        <w:rPr>
          <w:sz w:val="20"/>
        </w:rPr>
        <w:t>(as defined in the Terms and Conditions) and at the price indicated below:</w:t>
      </w:r>
    </w:p>
    <w:p>
      <w:pPr>
        <w:pStyle w:val="Normal"/>
        <w:numPr>
          <w:ilvl w:val="0"/>
          <w:numId w:val="8"/>
        </w:numPr>
        <w:spacing w:before="0" w:after="0"/>
        <w:rPr>
          <w:sz w:val="20"/>
        </w:rPr>
      </w:pPr>
      <w:r>
        <w:rPr>
          <w:sz w:val="20"/>
        </w:rPr>
        <w:t>a commodity price per kiloWatt hour (“</w:t>
      </w:r>
      <w:r>
        <w:rPr>
          <w:b/>
          <w:sz w:val="20"/>
        </w:rPr>
        <w:t>kWh</w:t>
      </w:r>
      <w:r>
        <w:rPr>
          <w:sz w:val="20"/>
        </w:rPr>
        <w:t xml:space="preserve">”) (being the price next to the box initialled below) for the </w:t>
      </w:r>
      <w:r>
        <w:rPr>
          <w:b/>
          <w:sz w:val="20"/>
        </w:rPr>
        <w:t xml:space="preserve">Notional Quantity </w:t>
      </w:r>
      <w:r>
        <w:rPr>
          <w:sz w:val="20"/>
        </w:rPr>
        <w:t xml:space="preserve">(as defined in Schedule “A” attached hereto) of electricity of: </w:t>
      </w:r>
    </w:p>
    <w:p>
      <w:pPr>
        <w:pStyle w:val="Normal"/>
        <w:spacing w:before="0" w:after="0"/>
        <w:rPr>
          <w:sz w:val="20"/>
        </w:rPr>
      </w:pPr>
      <w:r>
        <w:rPr>
          <w:sz w:val="20"/>
        </w:rPr>
      </w:r>
    </w:p>
    <w:tbl>
      <w:tblPr>
        <w:tblW w:w="8730" w:type="dxa"/>
        <w:jc w:val="start"/>
        <w:tblInd w:w="828" w:type="dxa"/>
        <w:tblLayout w:type="fixed"/>
        <w:tblCellMar>
          <w:top w:w="0" w:type="dxa"/>
          <w:start w:w="108" w:type="dxa"/>
          <w:bottom w:w="0" w:type="dxa"/>
          <w:end w:w="108" w:type="dxa"/>
        </w:tblCellMar>
      </w:tblPr>
      <w:tblGrid>
        <w:gridCol w:w="630"/>
        <w:gridCol w:w="1260"/>
        <w:gridCol w:w="6840"/>
      </w:tblGrid>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sz w:val="20"/>
              </w:rPr>
            </w:pPr>
            <w:r>
              <w:rPr>
                <w:sz w:val="20"/>
              </w:rPr>
            </w:r>
          </w:p>
        </w:tc>
        <w:tc>
          <w:tcPr>
            <w:tcW w:w="1260" w:type="dxa"/>
            <w:tcBorders>
              <w:start w:val="single" w:sz="4" w:space="0" w:color="000000"/>
            </w:tcBorders>
          </w:tcPr>
          <w:p>
            <w:pPr>
              <w:pStyle w:val="Normal"/>
              <w:spacing w:before="0" w:after="0"/>
              <w:jc w:val="center"/>
              <w:rPr>
                <w:sz w:val="20"/>
              </w:rPr>
            </w:pPr>
            <w:r>
              <w:rPr>
                <w:sz w:val="20"/>
              </w:rPr>
              <w:t>Option 1.</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five (5) years;</w:t>
            </w:r>
          </w:p>
        </w:tc>
      </w:tr>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lang w:val="en-US" w:eastAsia="en-US"/>
              </w:rPr>
            </w:pPr>
            <w:r>
              <w:rPr>
                <w:b/>
                <w:sz w:val="20"/>
                <w:lang w:val="en-US" w:eastAsia="en-US"/>
              </w:rPr>
            </w:r>
          </w:p>
        </w:tc>
        <w:tc>
          <w:tcPr>
            <w:tcW w:w="1260" w:type="dxa"/>
            <w:tcBorders>
              <w:start w:val="single" w:sz="4" w:space="0" w:color="000000"/>
            </w:tcBorders>
          </w:tcPr>
          <w:p>
            <w:pPr>
              <w:pStyle w:val="Normal"/>
              <w:spacing w:before="0" w:after="0"/>
              <w:jc w:val="center"/>
              <w:rPr>
                <w:sz w:val="20"/>
              </w:rPr>
            </w:pPr>
            <w:r>
              <w:rPr>
                <w:sz w:val="20"/>
              </w:rPr>
              <w:t>Option 2.</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three (3) years;</w:t>
            </w:r>
          </w:p>
        </w:tc>
      </w:tr>
      <w:tr>
        <w:trPr>
          <w:trHeight w:val="242" w:hRule="atLeast"/>
        </w:trPr>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before="0" w:after="0"/>
              <w:rPr>
                <w:b/>
                <w:sz w:val="20"/>
                <w:lang w:val="en-US" w:eastAsia="en-US"/>
              </w:rPr>
            </w:pPr>
            <w:r>
              <w:rPr>
                <w:b/>
                <w:sz w:val="20"/>
                <w:lang w:val="en-US" w:eastAsia="en-US"/>
              </w:rPr>
            </w:r>
          </w:p>
        </w:tc>
        <w:tc>
          <w:tcPr>
            <w:tcW w:w="1260" w:type="dxa"/>
            <w:tcBorders>
              <w:start w:val="single" w:sz="4" w:space="0" w:color="000000"/>
            </w:tcBorders>
          </w:tcPr>
          <w:p>
            <w:pPr>
              <w:pStyle w:val="Normal"/>
              <w:spacing w:before="0" w:after="0"/>
              <w:jc w:val="center"/>
              <w:rPr>
                <w:sz w:val="20"/>
              </w:rPr>
            </w:pPr>
            <w:r>
              <w:rPr>
                <w:sz w:val="20"/>
              </w:rPr>
              <w:t>Option 3.</w:t>
            </w:r>
          </w:p>
        </w:tc>
        <w:tc>
          <w:tcPr>
            <w:tcW w:w="6840" w:type="dxa"/>
            <w:tcBorders/>
          </w:tcPr>
          <w:p>
            <w:pPr>
              <w:pStyle w:val="DEYTemplateStyle"/>
              <w:jc w:val="start"/>
              <w:rPr>
                <w:b/>
                <w:sz w:val="20"/>
                <w:lang w:val="en-US" w:eastAsia="en-US"/>
              </w:rPr>
            </w:pPr>
            <w:r>
              <w:rPr>
                <w:sz w:val="20"/>
              </w:rPr>
              <w:t>$</w:t>
            </w:r>
            <w:r>
              <w:rPr>
                <w:rFonts w:eastAsia="Symbol" w:cs="Symbol" w:ascii="Symbol" w:hAnsi="Symbol"/>
                <w:sz w:val="20"/>
              </w:rPr>
              <w:sym w:font="Symbol" w:char="f0b7"/>
            </w:r>
            <w:r>
              <w:rPr>
                <w:sz w:val="20"/>
              </w:rPr>
              <w:t xml:space="preserve"> per kWh (the “</w:t>
            </w:r>
            <w:r>
              <w:rPr>
                <w:b/>
                <w:sz w:val="20"/>
              </w:rPr>
              <w:t>Commodity Price</w:t>
            </w:r>
            <w:r>
              <w:rPr>
                <w:sz w:val="20"/>
              </w:rPr>
              <w:t>”) for one (1) year;</w:t>
            </w:r>
          </w:p>
        </w:tc>
      </w:tr>
    </w:tbl>
    <w:p>
      <w:pPr>
        <w:pStyle w:val="Normal"/>
        <w:spacing w:before="0" w:after="0"/>
        <w:ind w:start="720" w:end="0"/>
        <w:rPr>
          <w:sz w:val="20"/>
        </w:rPr>
      </w:pPr>
      <w:r>
        <w:rPr>
          <w:sz w:val="20"/>
        </w:rPr>
        <w:t xml:space="preserve"> </w:t>
      </w:r>
    </w:p>
    <w:p>
      <w:pPr>
        <w:pStyle w:val="Normal"/>
        <w:spacing w:before="0" w:after="0"/>
        <w:ind w:start="720" w:end="0"/>
        <w:rPr>
          <w:sz w:val="20"/>
        </w:rPr>
      </w:pPr>
      <w:r>
        <w:rPr>
          <w:sz w:val="20"/>
        </w:rPr>
        <w:t>plus</w:t>
      </w:r>
    </w:p>
    <w:p>
      <w:pPr>
        <w:pStyle w:val="Normal"/>
        <w:spacing w:before="0" w:after="0"/>
        <w:ind w:start="720" w:end="0"/>
        <w:rPr>
          <w:sz w:val="20"/>
        </w:rPr>
      </w:pPr>
      <w:r>
        <w:rPr>
          <w:sz w:val="20"/>
        </w:rPr>
      </w:r>
    </w:p>
    <w:p>
      <w:pPr>
        <w:pStyle w:val="Normal"/>
        <w:numPr>
          <w:ilvl w:val="0"/>
          <w:numId w:val="3"/>
        </w:numPr>
        <w:rPr>
          <w:sz w:val="20"/>
        </w:rPr>
      </w:pPr>
      <w:r>
        <w:rPr>
          <w:sz w:val="20"/>
        </w:rPr>
        <w:t xml:space="preserve">the </w:t>
      </w:r>
      <w:r>
        <w:rPr>
          <w:b/>
          <w:sz w:val="20"/>
        </w:rPr>
        <w:t xml:space="preserve">Excess Energy Amounts </w:t>
      </w:r>
      <w:r>
        <w:rPr>
          <w:sz w:val="20"/>
        </w:rPr>
        <w:t xml:space="preserve">(as defined in the Terms and Conditions); </w:t>
      </w:r>
    </w:p>
    <w:p>
      <w:pPr>
        <w:pStyle w:val="Normal"/>
        <w:ind w:firstLine="720" w:end="0"/>
        <w:rPr>
          <w:sz w:val="20"/>
        </w:rPr>
      </w:pPr>
      <w:r>
        <w:rPr>
          <w:sz w:val="20"/>
        </w:rPr>
        <w:t>minus</w:t>
      </w:r>
    </w:p>
    <w:p>
      <w:pPr>
        <w:pStyle w:val="Normal"/>
        <w:numPr>
          <w:ilvl w:val="0"/>
          <w:numId w:val="3"/>
        </w:numPr>
        <w:rPr>
          <w:sz w:val="20"/>
        </w:rPr>
      </w:pPr>
      <w:r>
        <w:rPr>
          <w:sz w:val="20"/>
        </w:rPr>
        <w:t xml:space="preserve">the </w:t>
      </w:r>
      <w:r>
        <w:rPr>
          <w:b/>
          <w:sz w:val="20"/>
        </w:rPr>
        <w:t xml:space="preserve">Unused Energy Amounts </w:t>
      </w:r>
      <w:r>
        <w:rPr>
          <w:sz w:val="20"/>
        </w:rPr>
        <w:t xml:space="preserve">(as defined in the Terms and Conditions); </w:t>
      </w:r>
    </w:p>
    <w:p>
      <w:pPr>
        <w:pStyle w:val="Normal"/>
        <w:ind w:firstLine="720" w:end="0"/>
        <w:rPr>
          <w:sz w:val="20"/>
        </w:rPr>
      </w:pPr>
      <w:r>
        <w:rPr>
          <w:sz w:val="20"/>
        </w:rPr>
        <w:t>plus</w:t>
      </w:r>
    </w:p>
    <w:p>
      <w:pPr>
        <w:pStyle w:val="Normal"/>
        <w:numPr>
          <w:ilvl w:val="0"/>
          <w:numId w:val="3"/>
        </w:numPr>
        <w:rPr>
          <w:sz w:val="20"/>
        </w:rPr>
      </w:pPr>
      <w:r>
        <w:rPr>
          <w:sz w:val="20"/>
        </w:rPr>
        <w:t xml:space="preserve">all </w:t>
      </w:r>
      <w:r>
        <w:rPr>
          <w:b/>
          <w:sz w:val="20"/>
        </w:rPr>
        <w:t xml:space="preserve">Other Charges </w:t>
      </w:r>
      <w:r>
        <w:rPr>
          <w:sz w:val="20"/>
        </w:rPr>
        <w:t xml:space="preserve">(as defined by the Terms and Conditions); </w:t>
      </w:r>
    </w:p>
    <w:p>
      <w:pPr>
        <w:pStyle w:val="Normal"/>
        <w:ind w:firstLine="720" w:end="0"/>
        <w:rPr>
          <w:sz w:val="20"/>
        </w:rPr>
      </w:pPr>
      <w:r>
        <w:rPr>
          <w:sz w:val="20"/>
        </w:rPr>
        <w:t>plus</w:t>
      </w:r>
    </w:p>
    <w:p>
      <w:pPr>
        <w:pStyle w:val="Normal"/>
        <w:numPr>
          <w:ilvl w:val="0"/>
          <w:numId w:val="3"/>
        </w:numPr>
        <w:rPr>
          <w:sz w:val="20"/>
        </w:rPr>
      </w:pPr>
      <w:r>
        <w:rPr>
          <w:sz w:val="20"/>
        </w:rPr>
        <w:t>additional charges of ___________________________________________________(the “</w:t>
      </w:r>
      <w:r>
        <w:rPr>
          <w:b/>
          <w:sz w:val="20"/>
        </w:rPr>
        <w:t>Additional Charges</w:t>
      </w:r>
      <w:r>
        <w:rPr>
          <w:sz w:val="20"/>
        </w:rPr>
        <w:t>”);</w:t>
      </w:r>
    </w:p>
    <w:p>
      <w:pPr>
        <w:pStyle w:val="Normal"/>
        <w:ind w:firstLine="720" w:end="0"/>
        <w:rPr>
          <w:sz w:val="20"/>
        </w:rPr>
      </w:pPr>
      <w:r>
        <w:rPr>
          <w:sz w:val="20"/>
        </w:rPr>
        <w:t>plus</w:t>
      </w:r>
    </w:p>
    <w:p>
      <w:pPr>
        <w:pStyle w:val="Normal"/>
        <w:numPr>
          <w:ilvl w:val="0"/>
          <w:numId w:val="3"/>
        </w:numPr>
        <w:rPr>
          <w:sz w:val="20"/>
        </w:rPr>
      </w:pPr>
      <w:r>
        <w:rPr>
          <w:sz w:val="20"/>
        </w:rPr>
        <w:t xml:space="preserve">the </w:t>
      </w:r>
      <w:r>
        <w:rPr>
          <w:b/>
          <w:sz w:val="20"/>
        </w:rPr>
        <w:t>Taxes</w:t>
      </w:r>
      <w:r>
        <w:rPr>
          <w:sz w:val="20"/>
        </w:rPr>
        <w:t xml:space="preserve">  (as defined in the Terms and Conditions).</w:t>
      </w:r>
    </w:p>
    <w:p>
      <w:pPr>
        <w:pStyle w:val="Normal"/>
        <w:rPr/>
      </w:pPr>
      <w:r>
        <w:rPr>
          <w:sz w:val="20"/>
        </w:rPr>
        <w:t xml:space="preserve">This Application made in ____________________, Alberta on ____________________, 200__ by the Customer with the assistance of ____________________ </w:t>
      </w:r>
      <w:r>
        <w:rPr>
          <w:b/>
          <w:sz w:val="20"/>
        </w:rPr>
        <w:t xml:space="preserve">[Salesperson's Name] </w:t>
      </w:r>
      <w:r>
        <w:rPr>
          <w:sz w:val="20"/>
        </w:rPr>
        <w:t>of ____________________</w:t>
      </w:r>
      <w:r>
        <w:rPr>
          <w:b/>
          <w:sz w:val="20"/>
        </w:rPr>
        <w:t xml:space="preserve"> [Sales Agency Name]</w:t>
      </w:r>
      <w:r>
        <w:rPr>
          <w:bCs/>
          <w:sz w:val="20"/>
        </w:rPr>
        <w:t>,</w:t>
      </w:r>
      <w:r>
        <w:rPr>
          <w:b/>
          <w:sz w:val="20"/>
        </w:rPr>
        <w:t xml:space="preserve"> </w:t>
      </w:r>
      <w:r>
        <w:rPr>
          <w:sz w:val="20"/>
        </w:rPr>
        <w:t>Enron Direct's sales agent of</w:t>
      </w:r>
      <w:r>
        <w:rPr>
          <w:b/>
          <w:sz w:val="20"/>
        </w:rPr>
        <w:t xml:space="preserve"> </w:t>
      </w:r>
      <w:r>
        <w:rPr>
          <w:sz w:val="20"/>
        </w:rPr>
        <w:t>Enron Direct.  The Customer understands that the sales person and agent have no authority to accept this Application on behalf of Enron Direct, modify or amend the terms of the Contract, as defined below, or otherwise bind Enron Direct in any way. The Customer further understands that it is referred to as the "</w:t>
      </w:r>
      <w:r>
        <w:rPr>
          <w:b/>
          <w:sz w:val="20"/>
        </w:rPr>
        <w:t>Customer</w:t>
      </w:r>
      <w:r>
        <w:rPr>
          <w:sz w:val="20"/>
        </w:rPr>
        <w:t>" in the Terms and Conditions and the notice and appointment of agent attached to this Application (the “</w:t>
      </w:r>
      <w:r>
        <w:rPr>
          <w:b/>
          <w:sz w:val="20"/>
        </w:rPr>
        <w:t>Notice and Appointment of Agent</w:t>
      </w:r>
      <w:r>
        <w:rPr>
          <w:sz w:val="20"/>
        </w:rPr>
        <w:t>”).</w:t>
      </w:r>
    </w:p>
    <w:p>
      <w:pPr>
        <w:pStyle w:val="Normal"/>
        <w:rPr/>
      </w:pPr>
      <w:r>
        <w:rPr>
          <w:sz w:val="20"/>
        </w:rPr>
        <w:t>By making this Application, the Customer agrees that Enron Direct may investigate its creditworthiness.  If Enron Direct accepts this Application, it will forward a fully executed copy of this Application together with the Terms and Conditions and the Notice and Appointment of Agent (collectively, the "</w:t>
      </w:r>
      <w:r>
        <w:rPr>
          <w:b/>
          <w:sz w:val="20"/>
        </w:rPr>
        <w:t>Contract</w:t>
      </w:r>
      <w:r>
        <w:rPr>
          <w:sz w:val="20"/>
        </w:rPr>
        <w:t>") and the Contract will be a legally enforceable, valid and binding agreement between Enron Direct and the Customer.</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Customer (full legal name):  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(exactly as it appears on your electricity bill):</w:t>
        <w:tab/>
        <w:t>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of Company (if applying on behalf of a Company): 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Position in Company (if applying on behalf of a Company):___________________________________________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Signature of Customer:  _______________________________________________________________________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Service Address:  ____________________________________________________________________________</w:t>
        <w:tab/>
        <w:t xml:space="preserve"> </w:t>
      </w:r>
    </w:p>
    <w:p>
      <w:pPr>
        <w:pStyle w:val="Normal"/>
        <w:pBdr>
          <w:top w:val="single" w:sz="4" w:space="1" w:color="000000"/>
          <w:left w:val="single" w:sz="4" w:space="4" w:color="000000"/>
          <w:bottom w:val="single" w:sz="4" w:space="1" w:color="000000"/>
          <w:right w:val="single" w:sz="4" w:space="4" w:color="000000"/>
        </w:pBdr>
        <w:rPr>
          <w:sz w:val="20"/>
        </w:rPr>
      </w:pPr>
      <w:r>
        <w:rPr>
          <w:sz w:val="20"/>
        </w:rPr>
        <w:t>Mailing Address (if different from above):  ________________________________________________________</w:t>
        <w:tab/>
      </w:r>
    </w:p>
    <w:p>
      <w:pPr>
        <w:pStyle w:val="Normal"/>
        <w:pBdr>
          <w:top w:val="single" w:sz="4" w:space="1" w:color="000000"/>
          <w:left w:val="single" w:sz="4" w:space="4" w:color="000000"/>
          <w:bottom w:val="single" w:sz="4" w:space="1" w:color="000000"/>
          <w:right w:val="single" w:sz="4" w:space="4" w:color="000000"/>
        </w:pBdr>
        <w:rPr/>
      </w:pPr>
      <w:r>
        <w:rPr>
          <w:sz w:val="20"/>
        </w:rPr>
        <w:t xml:space="preserve">Phone:  (home):  </w:t>
      </w:r>
      <w:r>
        <w:rPr>
          <w:sz w:val="20"/>
          <w:u w:val="single"/>
        </w:rPr>
        <w:t>(      )</w:t>
      </w:r>
      <w:r>
        <w:rPr>
          <w:sz w:val="20"/>
        </w:rPr>
        <w:t xml:space="preserve">________________________ Phone (work):  </w:t>
      </w:r>
      <w:r>
        <w:rPr>
          <w:sz w:val="20"/>
          <w:u w:val="single"/>
        </w:rPr>
        <w:t xml:space="preserve">(      </w:t>
      </w:r>
      <w:r>
        <w:rPr>
          <w:sz w:val="20"/>
        </w:rPr>
        <w:t>)_______________________________</w:t>
        <w:tab/>
      </w:r>
    </w:p>
    <w:p>
      <w:pPr>
        <w:pStyle w:val="Normal"/>
        <w:pBdr>
          <w:top w:val="single" w:sz="4" w:space="1" w:color="000000"/>
          <w:left w:val="single" w:sz="4" w:space="4" w:color="000000"/>
          <w:bottom w:val="single" w:sz="4" w:space="1" w:color="000000"/>
          <w:right w:val="single" w:sz="4" w:space="4" w:color="000000"/>
        </w:pBdr>
        <w:rPr/>
      </w:pPr>
      <w:r>
        <w:rPr>
          <w:sz w:val="20"/>
        </w:rPr>
        <w:t xml:space="preserve">Emergency Contact Name and Number:  ___________________________  </w:t>
      </w:r>
      <w:r>
        <w:rPr>
          <w:sz w:val="20"/>
          <w:u w:val="single"/>
        </w:rPr>
        <w:t xml:space="preserve">(     ) </w:t>
      </w:r>
      <w:r>
        <w:rPr>
          <w:sz w:val="20"/>
        </w:rPr>
        <w:t>_________________________</w:t>
      </w:r>
    </w:p>
    <w:p>
      <w:pPr>
        <w:pStyle w:val="Normal"/>
        <w:pBdr>
          <w:top w:val="single" w:sz="4" w:space="1" w:color="000000"/>
          <w:left w:val="single" w:sz="4" w:space="4" w:color="000000"/>
          <w:bottom w:val="single" w:sz="4" w:space="1" w:color="000000"/>
          <w:right w:val="single" w:sz="4" w:space="4" w:color="000000"/>
        </w:pBdr>
        <w:rPr/>
      </w:pPr>
      <w:r>
        <w:rPr>
          <w:sz w:val="20"/>
        </w:rPr>
        <w:t xml:space="preserve">Existing Utility Account Number: </w:t>
      </w:r>
      <w:r>
        <w:rPr>
          <w:sz w:val="20"/>
          <w:u w:val="single"/>
        </w:rPr>
        <w:t>|     |     |     |     |     |     |     |     |     |     |     |     |     |</w:t>
      </w:r>
      <w:r>
        <w:rPr>
          <w:sz w:val="20"/>
        </w:rPr>
        <w:t xml:space="preserve"> </w:t>
      </w:r>
    </w:p>
    <w:p>
      <w:pPr>
        <w:pStyle w:val="Normal"/>
        <w:pBdr>
          <w:top w:val="single" w:sz="4" w:space="1" w:color="000000"/>
          <w:left w:val="single" w:sz="4" w:space="4" w:color="000000"/>
          <w:bottom w:val="single" w:sz="4" w:space="1" w:color="000000"/>
          <w:right w:val="single" w:sz="4" w:space="4" w:color="000000"/>
        </w:pBdr>
        <w:rPr>
          <w:sz w:val="20"/>
        </w:rPr>
      </w:pPr>
      <w:r>
        <w:rPr>
          <w:sz w:val="20"/>
        </w:rPr>
        <w:t>Other Information: ___________________________________________________________________________</w:t>
      </w:r>
    </w:p>
    <w:p>
      <w:pPr>
        <w:pStyle w:val="Normal"/>
        <w:spacing w:before="0" w:after="0"/>
        <w:jc w:val="start"/>
        <w:rPr>
          <w:b/>
          <w:sz w:val="20"/>
        </w:rPr>
      </w:pPr>
      <w:r>
        <w:rPr>
          <w:b/>
          <w:sz w:val="20"/>
        </w:rPr>
      </w:r>
    </w:p>
    <w:p>
      <w:pPr>
        <w:pStyle w:val="Normal"/>
        <w:spacing w:before="0" w:after="0"/>
        <w:jc w:val="start"/>
        <w:rPr/>
      </w:pPr>
      <w:r>
        <w:rPr>
          <w:b/>
          <w:sz w:val="20"/>
        </w:rPr>
        <w:t>ACCEPTED AND AGREED</w:t>
      </w:r>
      <w:r>
        <w:rPr>
          <w:sz w:val="20"/>
        </w:rPr>
        <w:t xml:space="preserve"> effective </w:t>
      </w:r>
    </w:p>
    <w:p>
      <w:pPr>
        <w:pStyle w:val="Normal"/>
        <w:spacing w:before="0" w:after="0"/>
        <w:jc w:val="start"/>
        <w:rPr>
          <w:sz w:val="20"/>
        </w:rPr>
      </w:pPr>
      <w:r>
        <w:rPr>
          <w:sz w:val="20"/>
        </w:rPr>
        <w:t>as of ____________________, 200__.</w:t>
      </w:r>
    </w:p>
    <w:p>
      <w:pPr>
        <w:pStyle w:val="Normal"/>
        <w:spacing w:before="0" w:after="0"/>
        <w:jc w:val="start"/>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608"/>
        <w:gridCol w:w="4968"/>
      </w:tblGrid>
      <w:tr>
        <w:trPr/>
        <w:tc>
          <w:tcPr>
            <w:tcW w:w="4608" w:type="dxa"/>
            <w:tcBorders/>
          </w:tcPr>
          <w:p>
            <w:pPr>
              <w:pStyle w:val="Normal"/>
              <w:spacing w:before="0" w:after="0"/>
              <w:jc w:val="start"/>
              <w:rPr>
                <w:sz w:val="20"/>
              </w:rPr>
            </w:pPr>
            <w:r>
              <w:rPr>
                <w:sz w:val="20"/>
              </w:rPr>
              <w:t>ENRON DIRECT CANADA CORP., as general partner for and on behalf of the ENRON DIRECT LIMITED PARTNERSHIP</w:t>
            </w:r>
          </w:p>
        </w:tc>
        <w:tc>
          <w:tcPr>
            <w:tcW w:w="4968" w:type="dxa"/>
            <w:tcBorders/>
          </w:tcPr>
          <w:p>
            <w:pPr>
              <w:pStyle w:val="Normal"/>
              <w:snapToGrid w:val="false"/>
              <w:spacing w:before="0" w:after="0"/>
              <w:jc w:val="start"/>
              <w:rPr>
                <w:b/>
                <w:sz w:val="20"/>
              </w:rPr>
            </w:pPr>
            <w:r>
              <w:rPr>
                <w:b/>
                <w:sz w:val="20"/>
              </w:rPr>
            </w:r>
          </w:p>
        </w:tc>
      </w:tr>
      <w:tr>
        <w:trPr/>
        <w:tc>
          <w:tcPr>
            <w:tcW w:w="4608" w:type="dxa"/>
            <w:tcBorders/>
          </w:tcPr>
          <w:p>
            <w:pPr>
              <w:pStyle w:val="Normal"/>
              <w:snapToGrid w:val="false"/>
              <w:spacing w:before="0" w:after="0"/>
              <w:jc w:val="start"/>
              <w:rPr>
                <w:b/>
                <w:sz w:val="20"/>
                <w:u w:val="single"/>
              </w:rPr>
            </w:pPr>
            <w:r>
              <w:rPr>
                <w:b/>
                <w:sz w:val="20"/>
                <w:u w:val="single"/>
              </w:rPr>
            </w:r>
          </w:p>
          <w:p>
            <w:pPr>
              <w:pStyle w:val="Normal"/>
              <w:spacing w:before="0" w:after="0"/>
              <w:jc w:val="start"/>
              <w:rPr>
                <w:sz w:val="20"/>
              </w:rPr>
            </w:pPr>
            <w:r>
              <w:rPr>
                <w:sz w:val="20"/>
                <w:u w:val="single"/>
              </w:rPr>
              <w:tab/>
              <w:tab/>
              <w:tab/>
              <w:tab/>
              <w:tab/>
              <w:tab/>
              <w:br/>
            </w:r>
          </w:p>
        </w:tc>
        <w:tc>
          <w:tcPr>
            <w:tcW w:w="4968" w:type="dxa"/>
            <w:tcBorders/>
          </w:tcPr>
          <w:p>
            <w:pPr>
              <w:pStyle w:val="Normal"/>
              <w:snapToGrid w:val="false"/>
              <w:spacing w:before="0" w:after="0"/>
              <w:jc w:val="start"/>
              <w:rPr>
                <w:b/>
                <w:sz w:val="20"/>
              </w:rPr>
            </w:pPr>
            <w:r>
              <w:rPr>
                <w:b/>
                <w:sz w:val="20"/>
              </w:rPr>
            </w:r>
          </w:p>
        </w:tc>
      </w:tr>
    </w:tbl>
    <w:p>
      <w:pPr>
        <w:sectPr>
          <w:footerReference w:type="default" r:id="rId2"/>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jc w:val="center"/>
        <w:rPr>
          <w:sz w:val="20"/>
        </w:rPr>
      </w:pPr>
      <w:r>
        <w:rPr>
          <w:b/>
          <w:sz w:val="20"/>
          <w:u w:val="single"/>
        </w:rPr>
        <w:t>SCHEDULE “A”</w:t>
      </w:r>
    </w:p>
    <w:p>
      <w:pPr>
        <w:pStyle w:val="Normal"/>
        <w:jc w:val="start"/>
        <w:rPr>
          <w:sz w:val="20"/>
        </w:rPr>
      </w:pPr>
      <w:r>
        <w:rPr>
          <w:sz w:val="20"/>
        </w:rPr>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jc w:val="start"/>
        <w:rPr/>
      </w:pPr>
      <w:r>
        <w:rPr>
          <w:sz w:val="20"/>
        </w:rPr>
        <w:t>The “</w:t>
      </w:r>
      <w:r>
        <w:rPr>
          <w:b/>
          <w:sz w:val="20"/>
        </w:rPr>
        <w:t>Notional Quantity</w:t>
      </w:r>
      <w:r>
        <w:rPr>
          <w:sz w:val="20"/>
        </w:rPr>
        <w:t xml:space="preserve">” for each hour of each day of each year during the </w:t>
      </w:r>
      <w:r>
        <w:rPr>
          <w:b/>
          <w:sz w:val="20"/>
        </w:rPr>
        <w:t>Term</w:t>
      </w:r>
      <w:r>
        <w:rPr>
          <w:sz w:val="20"/>
        </w:rPr>
        <w:t xml:space="preserve"> (as defined in the Terms and Conditions) shall be as follows:</w:t>
      </w:r>
    </w:p>
    <w:p>
      <w:pPr>
        <w:pStyle w:val="Normal"/>
        <w:jc w:val="center"/>
        <w:rPr>
          <w:b/>
          <w:sz w:val="20"/>
          <w:u w:val="single"/>
        </w:rPr>
      </w:pPr>
      <w:r>
        <w:rPr>
          <w:b/>
          <w:sz w:val="20"/>
          <w:u w:val="single"/>
        </w:rPr>
        <w:t>NOTICE AND APPOINTMENT OF AGENT</w:t>
      </w:r>
    </w:p>
    <w:p>
      <w:pPr>
        <w:pStyle w:val="BodyTextIndent2"/>
        <w:rPr>
          <w:b/>
          <w:sz w:val="20"/>
        </w:rPr>
      </w:pPr>
      <w:r>
        <w:rPr>
          <w:b/>
          <w:sz w:val="20"/>
        </w:rPr>
        <w:t>TO:</w:t>
        <w:tab/>
        <w:t>All Interested Parties (each a "Notified Party")</w:t>
      </w:r>
    </w:p>
    <w:p>
      <w:pPr>
        <w:pStyle w:val="Index1"/>
        <w:numPr>
          <w:ilvl w:val="0"/>
          <w:numId w:val="10"/>
        </w:numPr>
        <w:ind w:hanging="0" w:start="0"/>
        <w:rPr/>
      </w:pPr>
      <w:r>
        <w:rPr>
          <w:b/>
        </w:rPr>
        <w:t>Appointment</w:t>
      </w:r>
      <w:r>
        <w:rPr/>
        <w:t xml:space="preserve">:  The </w:t>
      </w:r>
      <w:r>
        <w:rPr>
          <w:b/>
        </w:rPr>
        <w:t>Customer</w:t>
      </w:r>
      <w:r>
        <w:rPr/>
        <w:t xml:space="preserve"> (described below) confirms that it has entered into a contract for electricity supply (the "</w:t>
      </w:r>
      <w:r>
        <w:rPr>
          <w:b/>
        </w:rPr>
        <w:t>Contract</w:t>
      </w:r>
      <w:r>
        <w:rPr/>
        <w:t>") with</w:t>
      </w:r>
      <w:r>
        <w:rPr>
          <w:b/>
        </w:rPr>
        <w:t xml:space="preserve"> </w:t>
      </w:r>
      <w:r>
        <w:rPr/>
        <w:t>Enron Direct Limited Partnership ("</w:t>
      </w:r>
      <w:r>
        <w:rPr>
          <w:b/>
          <w:bCs/>
        </w:rPr>
        <w:t>Enron Direct</w:t>
      </w:r>
      <w:r>
        <w:rPr/>
        <w:t>") through its general partner, Enron Direct Canada Corp. In order to facilitate the Contract, the Customer gives notice to you and hereby appoints Enron Direct as its agent for all purposes related to the delivery of electricity to the Service Address and for all matters relating to the Customer’s supply of electricity including, without limiting the generality of the foregoing, to negotiate, establish, enter, document, implement, operate, perform, terminate and amend all matters relating to the Customer’s supply of electricity on behalf of the Customer.</w:t>
      </w:r>
    </w:p>
    <w:p>
      <w:pPr>
        <w:pStyle w:val="Index1"/>
        <w:numPr>
          <w:ilvl w:val="0"/>
          <w:numId w:val="10"/>
        </w:numPr>
        <w:ind w:hanging="0" w:start="0"/>
        <w:rPr/>
      </w:pPr>
      <w:r>
        <w:rPr>
          <w:b/>
        </w:rPr>
        <w:t>Enrollment</w:t>
      </w:r>
      <w:r>
        <w:rPr/>
        <w:t>:  The Customer authorizes and directs Enron Direct to enroll it with any Notified Party.  The Customer approves the switch from its current electrical supplier to Enron Direct.</w:t>
      </w:r>
    </w:p>
    <w:p>
      <w:pPr>
        <w:pStyle w:val="Index1"/>
        <w:numPr>
          <w:ilvl w:val="0"/>
          <w:numId w:val="10"/>
        </w:numPr>
        <w:ind w:hanging="0" w:start="0"/>
        <w:rPr/>
      </w:pPr>
      <w:r>
        <w:rPr>
          <w:b/>
        </w:rPr>
        <w:t>Direction</w:t>
      </w:r>
      <w:r>
        <w:rPr/>
        <w:t>:  The Customer hereby requests, authorizes and directs each Notified Party to release any and all information in such Notified Party's possession and control relating to the Customer and the supply and delivery of electricity to the Service Address including, but not limited to customer usage information, site usage history reports, credit and payment history, consumption history, utility account number and account information (the "</w:t>
      </w:r>
      <w:r>
        <w:rPr>
          <w:b/>
        </w:rPr>
        <w:t>Information</w:t>
      </w:r>
      <w:r>
        <w:rPr/>
        <w:t>") to Enron Direct and acknowledges that such release may be subject to a fee in accordance with any terms and conditions of the Notified Party.</w:t>
      </w:r>
    </w:p>
    <w:p>
      <w:pPr>
        <w:pStyle w:val="Index1"/>
        <w:numPr>
          <w:ilvl w:val="0"/>
          <w:numId w:val="10"/>
        </w:numPr>
        <w:ind w:hanging="0" w:start="0"/>
        <w:rPr/>
      </w:pPr>
      <w:r>
        <w:rPr>
          <w:b/>
        </w:rPr>
        <w:t>Notified Party Terms</w:t>
      </w:r>
      <w:r>
        <w:rPr/>
        <w:t>:  The Customer confirms that Enron Direct has notified it that it is bound by certain terms and conditions of the Notified Party as a “wire service provider”, as approved by applicable regulatory authorities where necessary, and the failure of the Customer to adhere or comply with such terms and conditions may result in, amongst other repercussions, the Customer being disconnected from the electric system.  The Customer confirms that it may also be bound by policies and guidelines established by the Notified Party in addition to applicable terms and conditions and further confirms that it will comply with such policies, guidelines and terms and conditions.</w:t>
      </w:r>
    </w:p>
    <w:p>
      <w:pPr>
        <w:pStyle w:val="Index1"/>
        <w:numPr>
          <w:ilvl w:val="0"/>
          <w:numId w:val="10"/>
        </w:numPr>
        <w:ind w:hanging="0" w:start="0"/>
        <w:rPr/>
      </w:pPr>
      <w:r>
        <w:rPr>
          <w:b/>
        </w:rPr>
        <w:t>Reliance</w:t>
      </w:r>
      <w:r>
        <w:rPr/>
        <w:t>:  Each Notified Party may deal exclusively with and rely on Enron Direct to make all arrangements on the Customer’s behalf in connection with the supply and delivery of electricity to the Service Address as if such arrangements had been made by the Customer.</w:t>
      </w:r>
    </w:p>
    <w:p>
      <w:pPr>
        <w:pStyle w:val="Index1"/>
        <w:numPr>
          <w:ilvl w:val="0"/>
          <w:numId w:val="10"/>
        </w:numPr>
        <w:ind w:hanging="0" w:start="0"/>
        <w:rPr>
          <w:b/>
        </w:rPr>
      </w:pPr>
      <w:r>
        <w:rPr>
          <w:b/>
        </w:rPr>
        <w:t>Billing</w:t>
      </w:r>
      <w:r>
        <w:rPr/>
        <w:t xml:space="preserve">:  Enron Direct will bill the Customer for the electricity related to the Service Address.  The Customer understands that distribution access charges, system access charges and any other fees, charges or taxes relating to the supply and delivery of electricity consumed at the Service Address may also be billed by Enron Direct. </w:t>
      </w:r>
    </w:p>
    <w:p>
      <w:pPr>
        <w:pStyle w:val="Index1"/>
        <w:numPr>
          <w:ilvl w:val="0"/>
          <w:numId w:val="10"/>
        </w:numPr>
        <w:ind w:hanging="0" w:start="0"/>
        <w:rPr/>
      </w:pPr>
      <w:r>
        <w:rPr>
          <w:b/>
        </w:rPr>
        <w:t>Effective Date</w:t>
      </w:r>
      <w:r>
        <w:rPr/>
        <w:t>: The appointments and directions are effective as of the date of this Notice and Appointment of Agent.</w:t>
      </w:r>
    </w:p>
    <w:p>
      <w:pPr>
        <w:pStyle w:val="Index1"/>
        <w:numPr>
          <w:ilvl w:val="0"/>
          <w:numId w:val="10"/>
        </w:numPr>
        <w:ind w:hanging="0" w:start="0"/>
        <w:rPr/>
      </w:pPr>
      <w:r>
        <w:rPr>
          <w:b/>
        </w:rPr>
        <w:t>Responsibility</w:t>
      </w:r>
      <w:r>
        <w:rPr/>
        <w:t>:  The Customer confirms that it has the authority to enter into an agreement for the supply of electricity to the Service Address and to appoint an agent for the delivery thereof to such Service Address.  The Customer agrees to keep the payment of its electricity account up-to-date, to pay accounts when due and to be bound by and responsible for the arrangements made by Enron Direct as agent on its behalf.  The Customer has read the Contract and this Notice and Appointment of Agent and understands and agrees to be bound by the terms thereof.</w:t>
      </w:r>
    </w:p>
    <w:p>
      <w:pPr>
        <w:pStyle w:val="Normal"/>
        <w:pBdr>
          <w:top w:val="single" w:sz="4" w:space="1" w:color="000000"/>
          <w:left w:val="single" w:sz="4" w:space="4" w:color="000000"/>
          <w:bottom w:val="single" w:sz="4" w:space="1" w:color="000000"/>
          <w:right w:val="single" w:sz="4" w:space="4" w:color="000000"/>
        </w:pBdr>
        <w:rPr>
          <w:sz w:val="20"/>
        </w:rPr>
      </w:pPr>
      <w:r>
        <w:rPr>
          <w:sz w:val="20"/>
        </w:rPr>
      </w:r>
    </w:p>
    <w:p>
      <w:pPr>
        <w:pStyle w:val="Normal"/>
        <w:pBdr>
          <w:top w:val="single" w:sz="4" w:space="1" w:color="000000"/>
          <w:left w:val="single" w:sz="4" w:space="4" w:color="000000"/>
          <w:bottom w:val="single" w:sz="4" w:space="1" w:color="000000"/>
          <w:right w:val="single" w:sz="4" w:space="4" w:color="000000"/>
        </w:pBdr>
        <w:rPr>
          <w:sz w:val="20"/>
        </w:rPr>
      </w:pPr>
      <w:r>
        <w:rPr>
          <w:sz w:val="20"/>
        </w:rPr>
        <w:t>Customer  (full legal name):   ____________________________________________________________________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Name (as it appears on your electricity bill):   _______________________________________________________</w:t>
      </w:r>
    </w:p>
    <w:p>
      <w:pPr>
        <w:pStyle w:val="Normal"/>
        <w:pBdr>
          <w:top w:val="single" w:sz="4" w:space="1" w:color="000000"/>
          <w:left w:val="single" w:sz="4" w:space="4" w:color="000000"/>
          <w:bottom w:val="single" w:sz="4" w:space="1" w:color="000000"/>
          <w:right w:val="single" w:sz="4" w:space="4" w:color="000000"/>
        </w:pBdr>
        <w:rPr>
          <w:sz w:val="20"/>
        </w:rPr>
      </w:pPr>
      <w:r>
        <w:rPr>
          <w:sz w:val="20"/>
        </w:rPr>
        <w:t>Service Address:  ______________________________ City:  __________________  Postal Code:  _____________</w:t>
        <w:tab/>
      </w:r>
    </w:p>
    <w:p>
      <w:pPr>
        <w:pStyle w:val="Normal"/>
        <w:pBdr>
          <w:top w:val="single" w:sz="4" w:space="1" w:color="000000"/>
          <w:left w:val="single" w:sz="4" w:space="4" w:color="000000"/>
          <w:bottom w:val="single" w:sz="4" w:space="1" w:color="000000"/>
          <w:right w:val="single" w:sz="4" w:space="4" w:color="000000"/>
        </w:pBdr>
        <w:rPr>
          <w:sz w:val="20"/>
        </w:rPr>
      </w:pPr>
      <w:r>
        <w:rPr>
          <w:sz w:val="20"/>
        </w:rPr>
        <w:t xml:space="preserve">Existing Utility Account Number: </w:t>
      </w:r>
      <w:r>
        <w:rPr>
          <w:sz w:val="20"/>
          <w:u w:val="single"/>
        </w:rPr>
        <w:t>|     |     |     |     |     |     |     |     |     |     |     |     |     |</w:t>
      </w:r>
    </w:p>
    <w:p>
      <w:pPr>
        <w:sectPr>
          <w:footerReference w:type="default" r:id="rId5"/>
          <w:footerReference w:type="first" r:id="rId6"/>
          <w:type w:val="nextPage"/>
          <w:pgSz w:w="12240" w:h="15840"/>
          <w:pgMar w:left="1008" w:right="1008" w:gutter="0" w:header="0" w:top="1152" w:footer="720" w:bottom="776"/>
          <w:pgNumType w:start="1" w:fmt="decimal"/>
          <w:formProt w:val="false"/>
          <w:textDirection w:val="lrTb"/>
          <w:docGrid w:type="default" w:linePitch="360" w:charSpace="0"/>
        </w:sectPr>
        <w:pStyle w:val="Normal"/>
        <w:pBdr>
          <w:top w:val="single" w:sz="4" w:space="1" w:color="000000"/>
          <w:left w:val="single" w:sz="4" w:space="4" w:color="000000"/>
          <w:bottom w:val="single" w:sz="4" w:space="1" w:color="000000"/>
          <w:right w:val="single" w:sz="4" w:space="4" w:color="000000"/>
        </w:pBdr>
        <w:rPr/>
      </w:pPr>
      <w:r>
        <w:rPr>
          <w:sz w:val="20"/>
        </w:rPr>
        <w:t>Date:</w:t>
        <w:tab/>
      </w:r>
      <w:r>
        <w:rPr>
          <w:sz w:val="20"/>
          <w:u w:val="single"/>
        </w:rPr>
        <w:t xml:space="preserve">2001/              /            </w:t>
      </w:r>
      <w:r>
        <w:rPr>
          <w:sz w:val="20"/>
        </w:rPr>
        <w:t xml:space="preserve"> </w:t>
        <w:tab/>
        <w:tab/>
        <w:t xml:space="preserve">Signature:  </w:t>
      </w:r>
      <w:r>
        <w:rPr>
          <w:sz w:val="20"/>
          <w:u w:val="single"/>
        </w:rPr>
        <w:tab/>
        <w:tab/>
        <w:tab/>
        <w:tab/>
        <w:tab/>
        <w:br/>
      </w:r>
      <w:r>
        <w:rPr>
          <w:sz w:val="20"/>
        </w:rPr>
        <w:tab/>
        <w:t>year /  month  / day</w:t>
      </w:r>
    </w:p>
    <w:p>
      <w:pPr>
        <w:pStyle w:val="Heading1"/>
        <w:numPr>
          <w:ilvl w:val="0"/>
          <w:numId w:val="0"/>
        </w:numPr>
        <w:ind w:hanging="0" w:start="0"/>
        <w:jc w:val="center"/>
        <w:rPr>
          <w:b/>
          <w:sz w:val="20"/>
          <w:u w:val="single"/>
        </w:rPr>
      </w:pPr>
      <w:r>
        <w:rPr>
          <w:b/>
          <w:sz w:val="20"/>
          <w:u w:val="single"/>
        </w:rPr>
        <w:t>TERMS AND CONDITIONS</w:t>
      </w:r>
    </w:p>
    <w:p>
      <w:pPr>
        <w:sectPr>
          <w:footerReference w:type="default" r:id="rId7"/>
          <w:footerReference w:type="first" r:id="rId8"/>
          <w:type w:val="nextPage"/>
          <w:pgSz w:w="12240" w:h="15840"/>
          <w:pgMar w:left="1440" w:right="1440" w:gutter="0" w:header="0" w:top="1440" w:footer="720" w:bottom="776"/>
          <w:pgNumType w:start="1" w:fmt="decimal"/>
          <w:formProt w:val="false"/>
          <w:textDirection w:val="lrTb"/>
          <w:docGrid w:type="default" w:linePitch="360" w:charSpace="0"/>
        </w:sectPr>
      </w:pPr>
    </w:p>
    <w:p>
      <w:pPr>
        <w:pStyle w:val="Normal"/>
        <w:rPr/>
      </w:pPr>
      <w:r>
        <w:rPr>
          <w:sz w:val="14"/>
        </w:rPr>
        <w:t>These terms and conditions (the "</w:t>
      </w:r>
      <w:r>
        <w:rPr>
          <w:b/>
          <w:sz w:val="14"/>
        </w:rPr>
        <w:t>Terms and Conditions</w:t>
      </w:r>
      <w:r>
        <w:rPr>
          <w:sz w:val="14"/>
        </w:rPr>
        <w:t>") shall be read together with the Application and the Notice and Appointment of Agent to form the contract between the Customer and Enron Direct (the "</w:t>
      </w:r>
      <w:r>
        <w:rPr>
          <w:b/>
          <w:sz w:val="14"/>
        </w:rPr>
        <w:t>Contract</w:t>
      </w:r>
      <w:r>
        <w:rPr>
          <w:sz w:val="14"/>
        </w:rPr>
        <w:t>"). All capitalized terms used herein and which are not defined herein shall have the meanings given to them in the Application.  As used in the Contract, headings and section references are for convenience only and shall not be used or relied upon for interpreting the Contract.  As used in the Terms and Conditions, “</w:t>
      </w:r>
      <w:r>
        <w:rPr>
          <w:b/>
          <w:bCs/>
          <w:sz w:val="14"/>
        </w:rPr>
        <w:t>Distribution Company</w:t>
      </w:r>
      <w:r>
        <w:rPr>
          <w:sz w:val="14"/>
        </w:rPr>
        <w:t>” includes</w:t>
      </w:r>
      <w:r>
        <w:rPr>
          <w:sz w:val="20"/>
        </w:rPr>
        <w:t xml:space="preserve"> </w:t>
      </w:r>
      <w:r>
        <w:rPr>
          <w:sz w:val="14"/>
        </w:rPr>
        <w:t>the “</w:t>
      </w:r>
      <w:r>
        <w:rPr>
          <w:b/>
          <w:bCs/>
          <w:sz w:val="14"/>
        </w:rPr>
        <w:t>Wires Owner</w:t>
      </w:r>
      <w:r>
        <w:rPr>
          <w:sz w:val="14"/>
        </w:rPr>
        <w:t>”, “</w:t>
      </w:r>
      <w:r>
        <w:rPr>
          <w:b/>
          <w:bCs/>
          <w:sz w:val="14"/>
        </w:rPr>
        <w:t>Wires Service Provider</w:t>
      </w:r>
      <w:r>
        <w:rPr>
          <w:sz w:val="14"/>
        </w:rPr>
        <w:t>”, “</w:t>
      </w:r>
      <w:r>
        <w:rPr>
          <w:b/>
          <w:bCs/>
          <w:sz w:val="14"/>
        </w:rPr>
        <w:t>Load Settlement Agent</w:t>
      </w:r>
      <w:r>
        <w:rPr>
          <w:sz w:val="14"/>
        </w:rPr>
        <w:t>”, “</w:t>
      </w:r>
      <w:r>
        <w:rPr>
          <w:b/>
          <w:bCs/>
          <w:sz w:val="14"/>
        </w:rPr>
        <w:t>Meter Data Manager</w:t>
      </w:r>
      <w:r>
        <w:rPr>
          <w:sz w:val="14"/>
        </w:rPr>
        <w:t>” and “</w:t>
      </w:r>
      <w:r>
        <w:rPr>
          <w:b/>
          <w:bCs/>
          <w:sz w:val="14"/>
        </w:rPr>
        <w:t>Meter Service Provider</w:t>
      </w:r>
      <w:r>
        <w:rPr>
          <w:sz w:val="14"/>
        </w:rPr>
        <w:t xml:space="preserve">” (each as described in the Settlement System Code established under section 20(1) of the </w:t>
      </w:r>
      <w:r>
        <w:rPr>
          <w:i/>
          <w:iCs/>
          <w:sz w:val="14"/>
        </w:rPr>
        <w:t>Roles, Relationships and Responsibilities Regulation</w:t>
      </w:r>
      <w:r>
        <w:rPr>
          <w:sz w:val="14"/>
        </w:rPr>
        <w:t xml:space="preserve"> (Alberta) under the </w:t>
      </w:r>
      <w:r>
        <w:rPr>
          <w:i/>
          <w:iCs/>
          <w:sz w:val="14"/>
        </w:rPr>
        <w:t>Electric Utilities Act</w:t>
      </w:r>
      <w:r>
        <w:rPr>
          <w:sz w:val="14"/>
        </w:rPr>
        <w:t xml:space="preserve"> (Alberta) (the “</w:t>
      </w:r>
      <w:r>
        <w:rPr>
          <w:b/>
          <w:bCs/>
          <w:sz w:val="14"/>
        </w:rPr>
        <w:t>EU Act</w:t>
      </w:r>
      <w:r>
        <w:rPr>
          <w:sz w:val="14"/>
        </w:rPr>
        <w:t>”)) and each of their respective successors, from time to time.</w:t>
      </w:r>
    </w:p>
    <w:p>
      <w:pPr>
        <w:pStyle w:val="List"/>
        <w:numPr>
          <w:ilvl w:val="0"/>
          <w:numId w:val="5"/>
        </w:numPr>
        <w:ind w:hanging="0" w:start="0"/>
        <w:rPr>
          <w:sz w:val="14"/>
        </w:rPr>
      </w:pPr>
      <w:r>
        <w:rPr>
          <w:b/>
          <w:sz w:val="14"/>
        </w:rPr>
        <w:t>Confirmation:</w:t>
      </w:r>
      <w:r>
        <w:rPr>
          <w:sz w:val="14"/>
        </w:rPr>
        <w:t xml:space="preserve">  The Customer confirms that the information contained in the Application and Notice and Appointment of Agent and any schedules or exhibits attached thereto, as provided by the Customer, is correct.  The Customer agrees to immediately notify Enron Direct of any changes to such information and indemnify Enron Direct for any additional liability, loss, claims, damages, costs, expenses or fees it incurs as a result of the change in such information or a result of any delay in notifying Enron Direct of such changes. </w:t>
      </w:r>
    </w:p>
    <w:p>
      <w:pPr>
        <w:pStyle w:val="List"/>
        <w:numPr>
          <w:ilvl w:val="0"/>
          <w:numId w:val="5"/>
        </w:numPr>
        <w:ind w:hanging="0" w:start="0"/>
        <w:rPr>
          <w:sz w:val="14"/>
        </w:rPr>
      </w:pPr>
      <w:r>
        <w:rPr>
          <w:b/>
          <w:sz w:val="14"/>
        </w:rPr>
        <w:t>Start Date:</w:t>
      </w:r>
      <w:r>
        <w:rPr>
          <w:sz w:val="14"/>
        </w:rPr>
        <w:t xml:space="preserve">  Enron Direct will begin supplying electricity to the Service Address, under the terms of the Contract, on the date specified by the Distribution Company once the Distribution Company accepts the enrollment of the Customer by Enron Direct and following the lapse of any notice periods applicable to the termination of the Customer's current electricity supplier (the “</w:t>
      </w:r>
      <w:r>
        <w:rPr>
          <w:b/>
          <w:sz w:val="14"/>
        </w:rPr>
        <w:t>Start Date</w:t>
      </w:r>
      <w:r>
        <w:rPr>
          <w:sz w:val="14"/>
        </w:rPr>
        <w:t xml:space="preserve">”).  Subject to these Terms and Conditions, Enron Direct will continue to supply electricity to the Service Address throughout the </w:t>
      </w:r>
      <w:r>
        <w:rPr>
          <w:b/>
          <w:sz w:val="14"/>
        </w:rPr>
        <w:t>Term</w:t>
      </w:r>
      <w:r>
        <w:rPr>
          <w:sz w:val="14"/>
        </w:rPr>
        <w:t xml:space="preserve"> (as defined below).  </w:t>
      </w:r>
    </w:p>
    <w:p>
      <w:pPr>
        <w:pStyle w:val="List"/>
        <w:numPr>
          <w:ilvl w:val="0"/>
          <w:numId w:val="5"/>
        </w:numPr>
        <w:ind w:hanging="0" w:start="0"/>
        <w:rPr>
          <w:sz w:val="14"/>
        </w:rPr>
      </w:pPr>
      <w:bookmarkStart w:id="0" w:name="_Ref510410735"/>
      <w:r>
        <w:rPr>
          <w:b/>
          <w:sz w:val="14"/>
        </w:rPr>
        <w:t>Conditions to Supply:</w:t>
      </w:r>
      <w:r>
        <w:rPr>
          <w:sz w:val="14"/>
        </w:rPr>
        <w:t xml:space="preserve">  Enron Direct is under no obligation to provide any services or continue to supply electricity under the Contract unless, at all times during the Term:  (a) the supply of electricity and provision of services by Enron Direct and the facilities at the Service Address comply with the requirements of, and do not cause Enron Direct to be in breach of, Enron Direct's licence to supply electricity or any applicable law, bylaw, statute, regulation, rule, ordinance, policy, order, code, information letter, guideline, bulletin or directive; (b) the Customer is a party to, and complies with its obligations under, the </w:t>
      </w:r>
      <w:r>
        <w:rPr>
          <w:b/>
          <w:sz w:val="14"/>
        </w:rPr>
        <w:t>Customer Terms and Directives</w:t>
      </w:r>
      <w:r>
        <w:rPr>
          <w:sz w:val="14"/>
        </w:rPr>
        <w:t xml:space="preserve"> (as defined below); (c) appropriate metering and related equipment for electricity measuring and the transmission and collection of data ("</w:t>
      </w:r>
      <w:r>
        <w:rPr>
          <w:b/>
          <w:sz w:val="14"/>
        </w:rPr>
        <w:t>Metering</w:t>
      </w:r>
      <w:r>
        <w:rPr>
          <w:sz w:val="14"/>
        </w:rPr>
        <w:t xml:space="preserve">") which in each case complies with the </w:t>
      </w:r>
      <w:r>
        <w:rPr>
          <w:b/>
          <w:sz w:val="14"/>
        </w:rPr>
        <w:t>Industry Terms and Directives</w:t>
      </w:r>
      <w:r>
        <w:rPr>
          <w:sz w:val="14"/>
        </w:rPr>
        <w:t xml:space="preserve"> (as defined below) and all applicable laws and regulations in place for the supply of electricity and accredited operators, meter administrators, meter data collectors and data aggregators have been appointed in connection with the Metering and each such person is complying with its obligations under the Industry Terms and Directives to which it is a party and the Customer is complying with its obligations under its agreement with any such person; and (d) the Customer has all permits, licences, approvals or other instruments necessary for the supply and delivery of electricity to the Service Address.</w:t>
      </w:r>
      <w:bookmarkEnd w:id="0"/>
    </w:p>
    <w:p>
      <w:pPr>
        <w:pStyle w:val="List"/>
        <w:numPr>
          <w:ilvl w:val="0"/>
          <w:numId w:val="5"/>
        </w:numPr>
        <w:ind w:hanging="0" w:start="0"/>
        <w:rPr>
          <w:sz w:val="14"/>
        </w:rPr>
      </w:pPr>
      <w:r>
        <w:rPr>
          <w:b/>
          <w:sz w:val="14"/>
        </w:rPr>
        <w:t>Term:</w:t>
      </w:r>
      <w:r>
        <w:rPr>
          <w:sz w:val="14"/>
        </w:rPr>
        <w:t xml:space="preserve">  Subject to the termination rights contained in the Contract, the term of the Contract shall commence on the Start Date</w:t>
      </w:r>
      <w:r>
        <w:rPr>
          <w:b/>
          <w:sz w:val="14"/>
        </w:rPr>
        <w:t xml:space="preserve"> </w:t>
      </w:r>
      <w:r>
        <w:rPr>
          <w:sz w:val="14"/>
        </w:rPr>
        <w:t>and shall continue for the number of years set forth in the Application (the “</w:t>
      </w:r>
      <w:r>
        <w:rPr>
          <w:b/>
          <w:sz w:val="14"/>
        </w:rPr>
        <w:t>Term</w:t>
      </w:r>
      <w:r>
        <w:rPr>
          <w:sz w:val="14"/>
        </w:rPr>
        <w:t>”).  The Contract may not be renewed after the expiry of the Term.</w:t>
      </w:r>
    </w:p>
    <w:p>
      <w:pPr>
        <w:pStyle w:val="List"/>
        <w:numPr>
          <w:ilvl w:val="0"/>
          <w:numId w:val="5"/>
        </w:numPr>
        <w:ind w:hanging="0" w:start="0"/>
        <w:rPr>
          <w:sz w:val="14"/>
        </w:rPr>
      </w:pPr>
      <w:r>
        <w:rPr>
          <w:b/>
          <w:sz w:val="14"/>
        </w:rPr>
        <w:t xml:space="preserve">Supply Interruptible: </w:t>
      </w:r>
      <w:r>
        <w:rPr>
          <w:sz w:val="14"/>
        </w:rPr>
        <w:t xml:space="preserve">The Customer acknowledges that the electricity supplied under the Contract may be interrupted as a result of the operation of Sections </w:t>
      </w:r>
      <w:r>
        <w:rPr>
          <w:sz w:val="14"/>
        </w:rPr>
        <w:fldChar w:fldCharType="begin"/>
      </w:r>
      <w:r>
        <w:rPr>
          <w:sz w:val="14"/>
        </w:rPr>
        <w:instrText xml:space="preserve"> REF _Ref510410735 \r \r \h </w:instrText>
      </w:r>
      <w:r>
        <w:rPr>
          <w:sz w:val="14"/>
        </w:rPr>
        <w:fldChar w:fldCharType="separate"/>
      </w:r>
      <w:r>
        <w:rPr>
          <w:sz w:val="14"/>
        </w:rPr>
        <w:t>3</w:t>
      </w:r>
      <w:r>
        <w:rPr>
          <w:sz w:val="14"/>
        </w:rPr>
        <w:fldChar w:fldCharType="end"/>
      </w:r>
      <w:r>
        <w:rPr>
          <w:sz w:val="14"/>
        </w:rPr>
        <w:t xml:space="preserve">, </w:t>
      </w:r>
      <w:r>
        <w:rPr>
          <w:sz w:val="14"/>
        </w:rPr>
        <w:fldChar w:fldCharType="begin"/>
      </w:r>
      <w:r>
        <w:rPr>
          <w:sz w:val="14"/>
        </w:rPr>
        <w:instrText xml:space="preserve"> REF _Ref510410751 \r \r \h </w:instrText>
      </w:r>
      <w:r>
        <w:rPr>
          <w:sz w:val="14"/>
        </w:rPr>
        <w:fldChar w:fldCharType="separate"/>
      </w:r>
      <w:r>
        <w:rPr>
          <w:sz w:val="14"/>
        </w:rPr>
        <w:t>18</w:t>
      </w:r>
      <w:r>
        <w:rPr>
          <w:sz w:val="14"/>
        </w:rPr>
        <w:fldChar w:fldCharType="end"/>
      </w:r>
      <w:r>
        <w:rPr>
          <w:sz w:val="14"/>
        </w:rPr>
        <w:t xml:space="preserve"> or 22 and, if the Customer needs a guaranteed supply of electricity which is uninterrupted, unreduced or unimpaired on a continuous basis, emergency or stand-by capability, it will need to be contracted for by the Customer (and will not be supplied by the Enron Direct under the Contract).</w:t>
      </w:r>
    </w:p>
    <w:p>
      <w:pPr>
        <w:pStyle w:val="List"/>
        <w:numPr>
          <w:ilvl w:val="0"/>
          <w:numId w:val="5"/>
        </w:numPr>
        <w:ind w:hanging="0" w:start="0"/>
        <w:rPr>
          <w:sz w:val="14"/>
        </w:rPr>
      </w:pPr>
      <w:r>
        <w:rPr>
          <w:b/>
          <w:sz w:val="14"/>
        </w:rPr>
        <w:t>Variations in Supply</w:t>
      </w:r>
      <w:r>
        <w:rPr>
          <w:sz w:val="14"/>
        </w:rPr>
        <w:t>: As contemplated at the time of entering the Contract, the electricity supplied under the Contract will be delivered by and through the facilities of the Distribution Company.  As such, Enron Direct does not guarantee that such electricity will be free from variations in voltage or frequency attributable to the operations or failure of the Distribution Company's system or any other transmission system.</w:t>
      </w:r>
    </w:p>
    <w:p>
      <w:pPr>
        <w:pStyle w:val="List"/>
        <w:numPr>
          <w:ilvl w:val="0"/>
          <w:numId w:val="5"/>
        </w:numPr>
        <w:ind w:hanging="0" w:start="0"/>
        <w:rPr>
          <w:sz w:val="14"/>
        </w:rPr>
      </w:pPr>
      <w:r>
        <w:rPr>
          <w:b/>
          <w:sz w:val="14"/>
        </w:rPr>
        <w:t xml:space="preserve">Limited Appointment:  </w:t>
      </w:r>
      <w:r>
        <w:rPr>
          <w:sz w:val="14"/>
        </w:rPr>
        <w:t>In order to facilitate the supply of electricity to the Service Address, the Customer appoints Enron Direct, or its successor or assignee, as its agent (the "</w:t>
      </w:r>
      <w:r>
        <w:rPr>
          <w:b/>
          <w:sz w:val="14"/>
        </w:rPr>
        <w:t>Agent</w:t>
      </w:r>
      <w:r>
        <w:rPr>
          <w:sz w:val="14"/>
        </w:rPr>
        <w:t>") for all purposes relating to the delivery of electricity at the Service Address. Enron Direct's appointment as the Agent commences as of the date the Customer makes the Application and terminates on the 20</w:t>
      </w:r>
      <w:r>
        <w:rPr>
          <w:sz w:val="14"/>
          <w:vertAlign w:val="superscript"/>
        </w:rPr>
        <w:t>th</w:t>
      </w:r>
      <w:r>
        <w:rPr>
          <w:sz w:val="14"/>
        </w:rPr>
        <w:t xml:space="preserve"> "</w:t>
      </w:r>
      <w:r>
        <w:rPr>
          <w:b/>
          <w:sz w:val="14"/>
        </w:rPr>
        <w:t>Business Day</w:t>
      </w:r>
      <w:r>
        <w:rPr>
          <w:sz w:val="14"/>
        </w:rPr>
        <w:t xml:space="preserve">" (a day other than a Saturday, Sunday or statutory holiday in Alberta) thereafter, unless Enron Direct accepts the Application. If Enron Direct accepts the Application, Enron Direct's appointment as the Agent shall continue until the last day of the Term.  Enron Direct's appointment as the Agent includes all power and authority (in its sole discretion) regarding all matters relating to the delivery of electricity to the Service Address and, without limiting the generality of the foregoing, the power and authority to negotiate, enter, establish, document, implement, operate, perform, terminate and amend all matters and agreements relating to the delivery of electricity to the Service Address.   </w:t>
      </w:r>
    </w:p>
    <w:p>
      <w:pPr>
        <w:pStyle w:val="List"/>
        <w:numPr>
          <w:ilvl w:val="0"/>
          <w:numId w:val="5"/>
        </w:numPr>
        <w:ind w:hanging="0" w:start="0"/>
        <w:rPr>
          <w:sz w:val="14"/>
        </w:rPr>
      </w:pPr>
      <w:r>
        <w:rPr>
          <w:b/>
          <w:sz w:val="14"/>
        </w:rPr>
        <w:t xml:space="preserve">Scope of Agency: </w:t>
      </w:r>
      <w:r>
        <w:rPr>
          <w:sz w:val="14"/>
        </w:rPr>
        <w:t xml:space="preserve">The Customer acknowledges that Enron Direct is not an agent or fiduciary of the Customer with respect to the purchase and sale of electricity (except as specifically contemplated by Section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or the price of such electricity to be supplied under the Contract to the Service Address.  At the time the Contract is entered into, the Customer may, or may not, be able to acquire electricity from other electricity suppliers at a lower price than the price fixed in the Contract.  Further, Enron Direct may profit from the sale of electricity to the Customer under the Contract by acquiring electricity at a lower price than the Customer has agreed to pay under the Contract. Enron Direct will not, and is under no obligation to, pass on any such profit to the Customer.</w:t>
      </w:r>
    </w:p>
    <w:p>
      <w:pPr>
        <w:pStyle w:val="List"/>
        <w:numPr>
          <w:ilvl w:val="0"/>
          <w:numId w:val="5"/>
        </w:numPr>
        <w:ind w:hanging="0" w:start="0"/>
        <w:rPr>
          <w:b/>
          <w:sz w:val="14"/>
        </w:rPr>
      </w:pPr>
      <w:bookmarkStart w:id="1" w:name="_Ref510410868"/>
      <w:r>
        <w:rPr>
          <w:b/>
          <w:sz w:val="14"/>
        </w:rPr>
        <w:t xml:space="preserve">Customer Representations:  </w:t>
      </w:r>
      <w:r>
        <w:rPr>
          <w:sz w:val="14"/>
        </w:rPr>
        <w:t>The Customer confirms that: (a) it is not, and will not be, bound by an agreement with any other electricity supplier for the supply of electricity to the Service Address during the Term, it has not and will not modify, revoke, rescind or cancel Enron Direct’s appointment as Agent nor appoint any other party in such capacity during the Term and, subject to the terms and conditions of the Contract, Enron Direct shall be the sole “retailer” (as defined in the EU Act) with respect to the supply of electricity to the Service Address during the Term; (b) the Customer has good and sufficient power and the authority to enter into the Contract and perform its obligations under the Contract; (c) the Contract has been duly authorized, executed and delivered by the Customer; (d) it is the person responsible for the purchase of electricity for the Service Address; (e) it is in compliance with and will comply with its obligations under the Customer Terms and Directives; and (f) it has and will have in effect all required connection and service agreements with the Distribution Company at all times during the Term.</w:t>
      </w:r>
      <w:bookmarkEnd w:id="1"/>
      <w:r>
        <w:rPr>
          <w:sz w:val="14"/>
        </w:rPr>
        <w:t xml:space="preserve">  </w:t>
      </w:r>
    </w:p>
    <w:p>
      <w:pPr>
        <w:pStyle w:val="List"/>
        <w:numPr>
          <w:ilvl w:val="0"/>
          <w:numId w:val="5"/>
        </w:numPr>
        <w:ind w:hanging="0" w:start="0"/>
        <w:rPr>
          <w:b/>
          <w:sz w:val="14"/>
        </w:rPr>
      </w:pPr>
      <w:bookmarkStart w:id="2" w:name="_Ref510410879"/>
      <w:r>
        <w:rPr>
          <w:b/>
          <w:sz w:val="14"/>
        </w:rPr>
        <w:t xml:space="preserve">Liquidated Damages:  </w:t>
      </w:r>
      <w:r>
        <w:rPr>
          <w:sz w:val="14"/>
        </w:rPr>
        <w:t>If Enron Direct terminates the Contract in accordance with Section 24 hereof or the Contract is terminated or deemed to be terminated pursuant to any ruling, order, directive or pronouncement made under any bankruptcy, insolvency, creditor protection or similar law (regardless of the jurisdiction of application or competence of such law) (each an “</w:t>
      </w:r>
      <w:r>
        <w:rPr>
          <w:b/>
          <w:sz w:val="14"/>
        </w:rPr>
        <w:t>Insolvency Law</w:t>
      </w:r>
      <w:r>
        <w:rPr>
          <w:sz w:val="14"/>
        </w:rPr>
        <w:t>”) affecting the Customer, then Enron Direct shall calculate damages (“</w:t>
      </w:r>
      <w:r>
        <w:rPr>
          <w:b/>
          <w:sz w:val="14"/>
        </w:rPr>
        <w:t>Early Termination Damages</w:t>
      </w:r>
      <w:r>
        <w:rPr>
          <w:sz w:val="14"/>
        </w:rPr>
        <w:t xml:space="preserve">”) equal to the sum of:  (a) the present value (using a discount rate equal to the </w:t>
      </w:r>
      <w:r>
        <w:rPr>
          <w:b/>
          <w:sz w:val="14"/>
        </w:rPr>
        <w:t>Prime Rate</w:t>
      </w:r>
      <w:r>
        <w:rPr>
          <w:sz w:val="14"/>
        </w:rPr>
        <w:t xml:space="preserve"> (as defined below)) of an amount equal to the number of kWhs of electricity estimated, by Enron Direct acting reasonably, to be delivered to the Service Address from the effective date of the termination until the date the Term would have expired had the Contract not been so terminated (the "</w:t>
      </w:r>
      <w:r>
        <w:rPr>
          <w:b/>
          <w:sz w:val="14"/>
        </w:rPr>
        <w:t>Termination Period</w:t>
      </w:r>
      <w:r>
        <w:rPr>
          <w:sz w:val="14"/>
        </w:rPr>
        <w:t>") multiplied by the positive difference per kWh obtained when subtracting the market price for such electricity determined by Enron Direct, acting reasonably, from the Commodity Price; plus (b) the product of $0.0015 per kWh multiplied by the quantity of electricity estimated to be delivered during the Termination Period; plus (c) all distribution penalties incurred by Enron Direct as a result of the termination; plus (d) all applicable Taxes.</w:t>
      </w:r>
      <w:bookmarkEnd w:id="2"/>
    </w:p>
    <w:p>
      <w:pPr>
        <w:pStyle w:val="List"/>
        <w:numPr>
          <w:ilvl w:val="0"/>
          <w:numId w:val="0"/>
        </w:numPr>
        <w:ind w:hanging="0" w:start="0"/>
        <w:rPr/>
      </w:pPr>
      <w:r>
        <w:rPr>
          <w:sz w:val="14"/>
        </w:rPr>
        <w:t xml:space="preserve">The Early Termination Damages, if any, will be payable by the Customer to Enron Direct within 10 days of the last day of the month in which the termination notice is given or the Contract is terminated or deemed to be terminated under any Insolvency Law.  The calculation of any Early Termination Damages shall be performed by Enron Direct based upon the average electricity per hour consumed at the Service Address over the 12 months preceding the notice of termination, or such other shorter period for which consumption information is available, and shall be final and binding.  The Customer agrees that the Early Termination Damages are a genuine, </w:t>
      </w:r>
      <w:r>
        <w:rPr>
          <w:i/>
          <w:sz w:val="14"/>
        </w:rPr>
        <w:t>bona fide</w:t>
      </w:r>
      <w:r>
        <w:rPr>
          <w:sz w:val="14"/>
        </w:rPr>
        <w:t xml:space="preserve"> and reasonable pre-estimate, as of the date of the Contract, of the losses, costs and expenses which Enron Direct would suffer as a result of the termination of the Contract.  The Early Termination Damages constitute liquidated damages and shall not, under any circumstances, be construed as a penalty.  The Early Termination Damages are in addition to any other amounts owed or owing under the Contract.  Notwithstanding the foregoing, no Early Termination Damages will be payable by the Customer in the event that the Contract is terminated pursuant to Section </w:t>
      </w:r>
      <w:r>
        <w:rPr>
          <w:sz w:val="14"/>
        </w:rPr>
        <w:fldChar w:fldCharType="begin"/>
      </w:r>
      <w:r>
        <w:rPr>
          <w:sz w:val="14"/>
        </w:rPr>
        <w:instrText xml:space="preserve"> REF _Ref510410774 \r \r \h </w:instrText>
      </w:r>
      <w:r>
        <w:rPr>
          <w:sz w:val="14"/>
        </w:rPr>
        <w:fldChar w:fldCharType="separate"/>
      </w:r>
      <w:r>
        <w:rPr>
          <w:sz w:val="14"/>
        </w:rPr>
        <w:t>24</w:t>
      </w:r>
      <w:r>
        <w:rPr>
          <w:sz w:val="14"/>
        </w:rPr>
        <w:fldChar w:fldCharType="end"/>
      </w:r>
      <w:r>
        <w:rPr>
          <w:sz w:val="14"/>
        </w:rPr>
        <w:t>(c).</w:t>
      </w:r>
    </w:p>
    <w:p>
      <w:pPr>
        <w:pStyle w:val="List"/>
        <w:numPr>
          <w:ilvl w:val="0"/>
          <w:numId w:val="5"/>
        </w:numPr>
        <w:ind w:hanging="0" w:start="0"/>
        <w:rPr>
          <w:sz w:val="14"/>
        </w:rPr>
      </w:pPr>
      <w:r>
        <w:rPr>
          <w:b/>
          <w:sz w:val="14"/>
        </w:rPr>
        <w:t xml:space="preserve">No Business Restrictions: </w:t>
      </w:r>
      <w:r>
        <w:rPr>
          <w:sz w:val="14"/>
        </w:rPr>
        <w:t>The Customer understands and acknowledges that Enron Direct and its affiliates participate, or may participate, in numerous aspects of the electricity market under a variety of roles and with varying interests. The Contract does not, in any way, preclude Enron Direct and its affiliates from pursuing any other business opportunities they may wish to pursue.</w:t>
      </w:r>
    </w:p>
    <w:p>
      <w:pPr>
        <w:pStyle w:val="List"/>
        <w:numPr>
          <w:ilvl w:val="0"/>
          <w:numId w:val="5"/>
        </w:numPr>
        <w:ind w:hanging="0" w:start="0"/>
        <w:rPr>
          <w:sz w:val="14"/>
        </w:rPr>
      </w:pPr>
      <w:bookmarkStart w:id="3" w:name="_Ref510410901"/>
      <w:r>
        <w:rPr>
          <w:b/>
          <w:sz w:val="14"/>
        </w:rPr>
        <w:t>Metering:</w:t>
      </w:r>
      <w:r>
        <w:rPr>
          <w:sz w:val="14"/>
        </w:rPr>
        <w:t xml:space="preserve">  All metering services, if any, shall be performed by the Distribution Company. The Customer shall allow any representative of the Distribution Company reasonable access to the Service Address to install, remove, inspect, check, replace or repair any metering equipment and to otherwise carry out its lawful duties. If the Customer reasonably believes the metering equipment is registering inaccurately, it may request that Enron Direct contact the Distribution Company to test of the metering equipment. Enron Direct shall communicate all such reasonable requests to the Distribution Company and the Customer shall, without restriction to any other obligation under the Contract, be responsible for any fees charged by the Distribution Company for verifying the accuracy of any meter.  The Customer acknowledges that: (a) if the meter is not reading accurately, the Distribution Company may recalibrate the meter and may recalculate and make adjustments in accordance with the applicable Industry Terms and Directives; (b) the Distribution Company shall be entitled to estimate the amount of electricity delivered to the Service Address; (c) the Distribution Company is responsible for determining the amount of electricity delivered to the Service Address between measurement intervals and may do so by periodic measurement, estimation, allocation or as it may otherwise determine in its discretion; (d) based upon the best available information from the Distribution Company at the time and using (i) commonly accepted standards for determining net system load shape, (ii) load profiles provided by the Distribution Company and/or (iii) interval meter consumption data, if available, Enron Direct is responsible for determining the amount of electricity delivered to the Service Address on an hourly basis and Enron Direct shall invoice the Customer, and the Customer shall be obligated to pay, based upon such determination and subsequent invoices shall be adjusted, if necessary, to account for finalized information; and (e) Enron Direct’s determination as to the amount of electricity delivered to the Service Address for any hour (including but not limited to any line losses, unaccounted for energy or </w:t>
      </w:r>
      <w:r>
        <w:rPr>
          <w:b/>
          <w:bCs/>
          <w:sz w:val="14"/>
        </w:rPr>
        <w:t>Other Charges</w:t>
      </w:r>
      <w:r>
        <w:rPr>
          <w:sz w:val="14"/>
        </w:rPr>
        <w:t xml:space="preserve"> (as defined below) allocated to the Service Address) shall be conclusive and binding as between the Customer and Enron Direct.  The Customer further acknowledges that, in the event that the Distribution Company fails to determine (whether by periodic measurement, estimation, allocation or some other method as determined by the Distribution Company in its discretion) the amount of electricity delivered to the Service Address within 30 days of the end of the calendar month in which the electricity is delivered hereunder, Enron Direct shall be entitled to estimate such volume of electricity and charge the Customer accordingly.</w:t>
      </w:r>
      <w:bookmarkEnd w:id="3"/>
    </w:p>
    <w:p>
      <w:pPr>
        <w:pStyle w:val="List"/>
        <w:numPr>
          <w:ilvl w:val="0"/>
          <w:numId w:val="5"/>
        </w:numPr>
        <w:ind w:hanging="0" w:start="0"/>
        <w:rPr>
          <w:sz w:val="14"/>
        </w:rPr>
      </w:pPr>
      <w:bookmarkStart w:id="4" w:name="_Ref510410817"/>
      <w:r>
        <w:rPr>
          <w:b/>
          <w:sz w:val="14"/>
        </w:rPr>
        <w:t xml:space="preserve">Excess or Unused Energy:  </w:t>
      </w:r>
      <w:r>
        <w:rPr>
          <w:sz w:val="14"/>
        </w:rPr>
        <w:t>The Customer acknowledges and agrees that:  (a) the Commodity Price is based on, and applies to the Notional Quantity; but (b) the actual delivered electricity to the Service Address may vary from such Notional Quantity; and accordingly (c) Enron Direct may from time to time be required to deliver to the Customer for any hour actual delivered electricity either in excess of the Notional Quantity (such excess, being the "</w:t>
      </w:r>
      <w:r>
        <w:rPr>
          <w:b/>
          <w:sz w:val="14"/>
        </w:rPr>
        <w:t>Excess Energy</w:t>
      </w:r>
      <w:r>
        <w:rPr>
          <w:sz w:val="14"/>
        </w:rPr>
        <w:t>") or less than the Notional Quantity (the result obtained by subtracting the actual delivered electricity from the Notional Quantity being the "</w:t>
      </w:r>
      <w:r>
        <w:rPr>
          <w:b/>
          <w:sz w:val="14"/>
        </w:rPr>
        <w:t>Unused Energy</w:t>
      </w:r>
      <w:r>
        <w:rPr>
          <w:sz w:val="14"/>
        </w:rPr>
        <w:t xml:space="preserve">"); and (d) Enron Direct will, as a result of any Excess Energy or any Unused Energy, have volume management and balancing obligations, including with the Power Pool of Alberta; and therefore (e) Enron Direct is authorized, from time to time, to purchase (in the case of any Excess Energy) or sell (in the case of any Unused Energy) electricity equivalent to the Excess Energy or the Unused Energy, as applicable, on the Customer’s behalf and for the Customer’s  account, and at the then prevailing </w:t>
      </w:r>
      <w:r>
        <w:rPr>
          <w:b/>
          <w:sz w:val="14"/>
        </w:rPr>
        <w:t>Pool Price</w:t>
      </w:r>
      <w:r>
        <w:rPr>
          <w:sz w:val="14"/>
        </w:rPr>
        <w:t xml:space="preserve"> (as defined below), and (f) Enron Direct shall, on the next ensuing invoice to the Customer, either (i) in the case of an Excess Energy, charge to the Customer the amount paid for the Excess Energy so purchased at the Pool Price, multiplied by 1.02 (the “</w:t>
      </w:r>
      <w:r>
        <w:rPr>
          <w:b/>
          <w:sz w:val="14"/>
        </w:rPr>
        <w:t>Excess Energy Amount</w:t>
      </w:r>
      <w:r>
        <w:rPr>
          <w:sz w:val="14"/>
        </w:rPr>
        <w:t>”), or (ii) in the case of any Unused Energy, credit to the Customer the amount received from the Unused Energy so sold at the Pool Price, multiplied by 0.98 (the “</w:t>
      </w:r>
      <w:r>
        <w:rPr>
          <w:b/>
          <w:sz w:val="14"/>
        </w:rPr>
        <w:t>Unused Energy Amount</w:t>
      </w:r>
      <w:r>
        <w:rPr>
          <w:sz w:val="14"/>
        </w:rPr>
        <w:t>”).  As used above, the “</w:t>
      </w:r>
      <w:r>
        <w:rPr>
          <w:b/>
          <w:sz w:val="14"/>
        </w:rPr>
        <w:t>Pool Price</w:t>
      </w:r>
      <w:r>
        <w:rPr>
          <w:sz w:val="14"/>
        </w:rPr>
        <w:t>” means for any applicable hour the price for such hour for electricity as published (in final, not estimate, form) by the Power Pool of Alberta on the Power Pool of Alberta Internet web page currently located at http://www.powerpool.ab.ca/MarketReports/ActualForecaseReportServelt.</w:t>
      </w:r>
      <w:bookmarkEnd w:id="4"/>
    </w:p>
    <w:p>
      <w:pPr>
        <w:pStyle w:val="List"/>
        <w:numPr>
          <w:ilvl w:val="0"/>
          <w:numId w:val="5"/>
        </w:numPr>
        <w:ind w:hanging="0" w:start="0"/>
        <w:rPr>
          <w:b/>
          <w:sz w:val="14"/>
        </w:rPr>
      </w:pPr>
      <w:bookmarkStart w:id="5" w:name="_Ref510410922"/>
      <w:r>
        <w:rPr>
          <w:b/>
          <w:sz w:val="14"/>
        </w:rPr>
        <w:t>Other and Additional Charges</w:t>
      </w:r>
      <w:r>
        <w:rPr>
          <w:sz w:val="14"/>
        </w:rPr>
        <w:t xml:space="preserve">:  The Customer hereby acknowledges that in addition to the Commodity Price and any Excess Energy Amount, the Customer shall be responsible and agrees to pay all charges, fees, assessments or allocations assessed by or through the Distribution Company, the </w:t>
      </w:r>
      <w:r>
        <w:rPr>
          <w:b/>
          <w:bCs/>
          <w:sz w:val="14"/>
        </w:rPr>
        <w:t>Transmission Administrator</w:t>
      </w:r>
      <w:r>
        <w:rPr>
          <w:sz w:val="14"/>
        </w:rPr>
        <w:t xml:space="preserve"> (as described in the EU Act)  or the Power Pool of Alberta relating to the electricity to be supplied, purchased or sold by Enron Direct as contemplated by the Contract and as allocated by Enron Direct to the Service Address including, without limiting the generality of the foregoing, any and all applicable transmission or distribution costs and charges, competition transition charges, debt reduction charges, control area services charges, inadvertent energy flows, location differentials, transmission and distribution losses, unaccounted for energy, transmission congestion charges, loss charges, fees and uplift charges relating to the electricity supplied, purchased or sold by Enron Direct as contemplated by the Contract, any matters incidental thereto and any act or omission of the Customer or of Enron Direct taken or omitted at the request of or on behalf of the Customer (collectively, the “</w:t>
      </w:r>
      <w:r>
        <w:rPr>
          <w:b/>
          <w:sz w:val="14"/>
        </w:rPr>
        <w:t>Other Charges</w:t>
      </w:r>
      <w:r>
        <w:rPr>
          <w:sz w:val="14"/>
        </w:rPr>
        <w:t>”) plus any Additional Charges (if any) as noted on the Application.</w:t>
      </w:r>
      <w:bookmarkEnd w:id="5"/>
    </w:p>
    <w:p>
      <w:pPr>
        <w:pStyle w:val="List"/>
        <w:numPr>
          <w:ilvl w:val="0"/>
          <w:numId w:val="5"/>
        </w:numPr>
        <w:ind w:hanging="0" w:start="0"/>
        <w:rPr>
          <w:sz w:val="14"/>
        </w:rPr>
      </w:pPr>
      <w:bookmarkStart w:id="6" w:name="_Ref510410931"/>
      <w:r>
        <w:rPr>
          <w:b/>
          <w:sz w:val="14"/>
        </w:rPr>
        <w:t>Taxes:</w:t>
      </w:r>
      <w:r>
        <w:rPr>
          <w:sz w:val="14"/>
        </w:rPr>
        <w:t xml:space="preserve">  The Customer shall be responsible for and agrees to pay all taxes including the Goods and Services Tax imposed under the </w:t>
      </w:r>
      <w:r>
        <w:rPr>
          <w:i/>
          <w:sz w:val="14"/>
        </w:rPr>
        <w:t xml:space="preserve">Excise Tax Act </w:t>
      </w:r>
      <w:r>
        <w:rPr>
          <w:sz w:val="14"/>
        </w:rPr>
        <w:t>(Canada)</w:t>
      </w:r>
      <w:r>
        <w:rPr>
          <w:i/>
          <w:sz w:val="14"/>
        </w:rPr>
        <w:t xml:space="preserve"> </w:t>
      </w:r>
      <w:r>
        <w:rPr>
          <w:sz w:val="14"/>
        </w:rPr>
        <w:t>as amended, restated, replaced or re-enacted from time to time and any similar tax imposed by any municipal, provincial or the federal government of Canada and all other applicable taxes or duties whatsoever, which are or may become exigible in connection with the supply or delivery of electricity to the Service Address or the purchase or sale of electricity as contemplated in the Contract (the "</w:t>
      </w:r>
      <w:r>
        <w:rPr>
          <w:b/>
          <w:sz w:val="14"/>
        </w:rPr>
        <w:t>Taxes</w:t>
      </w:r>
      <w:r>
        <w:rPr>
          <w:sz w:val="14"/>
        </w:rPr>
        <w:t>").</w:t>
      </w:r>
      <w:bookmarkEnd w:id="6"/>
      <w:r>
        <w:rPr>
          <w:sz w:val="14"/>
        </w:rPr>
        <w:t xml:space="preserve"> </w:t>
      </w:r>
    </w:p>
    <w:p>
      <w:pPr>
        <w:pStyle w:val="List"/>
        <w:numPr>
          <w:ilvl w:val="0"/>
          <w:numId w:val="5"/>
        </w:numPr>
        <w:ind w:hanging="0" w:start="0"/>
        <w:rPr>
          <w:sz w:val="14"/>
        </w:rPr>
      </w:pPr>
      <w:bookmarkStart w:id="7" w:name="_Ref510410940"/>
      <w:r>
        <w:rPr>
          <w:b/>
          <w:sz w:val="14"/>
        </w:rPr>
        <w:t>Payment Terms:</w:t>
      </w:r>
      <w:r>
        <w:rPr>
          <w:sz w:val="14"/>
        </w:rPr>
        <w:t xml:space="preserve">  Each month, or at such other intervals as shall be agreed, Enron Direct shall send to the Customer an account in respect of all amounts due to Enron Direct pursuant to the Contract in respect of that month or the applicable billing period. The Customer shall pay such amounts in full and in freely available funds via cheque, electronic funds transfer or direct debit from the Customer’s bank account, as designated by the Customer from time to time, within 10 days of the date of the account failing which Enron Direct may invoice the Customer and the Customer shall pay interest on the unpaid amount at the prime lending rate set by The Toronto-Dominion Bank from time to time (the “</w:t>
      </w:r>
      <w:r>
        <w:rPr>
          <w:b/>
          <w:sz w:val="14"/>
        </w:rPr>
        <w:t>Prime Rate</w:t>
      </w:r>
      <w:r>
        <w:rPr>
          <w:sz w:val="14"/>
        </w:rPr>
        <w:t>”) plus 4% per annum,</w:t>
      </w:r>
      <w:r>
        <w:rPr>
          <w:b/>
          <w:sz w:val="14"/>
        </w:rPr>
        <w:t xml:space="preserve"> </w:t>
      </w:r>
      <w:r>
        <w:rPr>
          <w:sz w:val="14"/>
        </w:rPr>
        <w:t>as from the due date of payment (both before and after judgment), compounded monthly.  Enron Direct also shall be entitled to assess charges on cheques and direct withdrawals that are dishonoured.  Failure to receive such an account will not entitle the Customer to delay settlement of such account or to extend the date after which interest becomes payable.  The Customer shall pay the full amount of any disputed accounts pending resolution of the dispute.  The Customer shall also be responsible for any legal and collection costs of Enron Direct in the event that Enron Direct refers the Customer's account for collection.  Enron Direct shall be entitled to revise any bill, regardless of payment by the Customer, to account for any reassessment made in respect thereof by the Distribution Company.</w:t>
      </w:r>
      <w:bookmarkEnd w:id="7"/>
      <w:r>
        <w:rPr>
          <w:sz w:val="14"/>
        </w:rPr>
        <w:t xml:space="preserve">  </w:t>
      </w:r>
    </w:p>
    <w:p>
      <w:pPr>
        <w:pStyle w:val="List"/>
        <w:numPr>
          <w:ilvl w:val="0"/>
          <w:numId w:val="5"/>
        </w:numPr>
        <w:ind w:hanging="0" w:start="0"/>
        <w:rPr>
          <w:sz w:val="14"/>
        </w:rPr>
      </w:pPr>
      <w:bookmarkStart w:id="8" w:name="_Ref510410951"/>
      <w:r>
        <w:rPr>
          <w:b/>
          <w:sz w:val="14"/>
        </w:rPr>
        <w:t xml:space="preserve">Netting and Offset:  </w:t>
      </w:r>
      <w:r>
        <w:rPr>
          <w:sz w:val="14"/>
        </w:rPr>
        <w:t>Enron Direct shall be entitled to net, set-off or offset (pursuant to the Contract or any other agreement or by law, equity or otherwise) any amounts owing by Enron Direct or any of its affiliates to the Customer or any of the Customer’s affiliates under the Contract or any other agreement between Enron Direct or any of its affiliates and the Customer or any of the Customer’s affiliates, against any amounts owed to Enron Direct or any of its affiliates by the Customer or any of the Customer’s affiliates under the Contract or any other agreement between Enron Direct or any of its affiliates and the Customer or any of the Customer’s affiliates.  As used in the Contract, “</w:t>
      </w:r>
      <w:r>
        <w:rPr>
          <w:b/>
          <w:sz w:val="14"/>
        </w:rPr>
        <w:t>affiliate</w:t>
      </w:r>
      <w:r>
        <w:rPr>
          <w:sz w:val="14"/>
        </w:rPr>
        <w:t>” means, in respect of any person or entity, any person or entity that directly, or indirectly through one or more intermediaries, controls, is controlled by, or is under common control with, such person or entity, through the power, either directly or indirectly, to direct or cause the direction of the management and policies of such person or entity whether through the ownership of voting securities or otherwise.</w:t>
      </w:r>
      <w:bookmarkEnd w:id="8"/>
    </w:p>
    <w:p>
      <w:pPr>
        <w:pStyle w:val="List"/>
        <w:numPr>
          <w:ilvl w:val="0"/>
          <w:numId w:val="5"/>
        </w:numPr>
        <w:ind w:hanging="0" w:start="0"/>
        <w:rPr>
          <w:b/>
          <w:sz w:val="14"/>
        </w:rPr>
      </w:pPr>
      <w:bookmarkStart w:id="9" w:name="_Ref510410751"/>
      <w:r>
        <w:rPr>
          <w:b/>
          <w:sz w:val="14"/>
        </w:rPr>
        <w:t xml:space="preserve">Delay or Non-Performance:  </w:t>
      </w:r>
      <w:r>
        <w:rPr>
          <w:sz w:val="14"/>
        </w:rPr>
        <w:t>If Enron Direct delays in performing, or is unable to perform, any or all obligations under the Contract because of some event or circumstance beyond its reasonable control, the Contract shall remain in full effect but Enron Direct shall have no liability for any such failure or delay.</w:t>
      </w:r>
      <w:bookmarkEnd w:id="9"/>
      <w:r>
        <w:rPr>
          <w:sz w:val="14"/>
        </w:rPr>
        <w:t xml:space="preserve"> </w:t>
      </w:r>
    </w:p>
    <w:p>
      <w:pPr>
        <w:pStyle w:val="List"/>
        <w:numPr>
          <w:ilvl w:val="0"/>
          <w:numId w:val="5"/>
        </w:numPr>
        <w:ind w:hanging="0" w:start="0"/>
        <w:rPr>
          <w:b/>
          <w:sz w:val="14"/>
        </w:rPr>
      </w:pPr>
      <w:bookmarkStart w:id="10" w:name="_Ref510410960"/>
      <w:r>
        <w:rPr>
          <w:b/>
          <w:sz w:val="14"/>
        </w:rPr>
        <w:t xml:space="preserve">Obligations to Third Parties: </w:t>
      </w:r>
      <w:r>
        <w:rPr>
          <w:sz w:val="14"/>
        </w:rPr>
        <w:t>The Customer acknowledges and agrees that Enron Direct is bound by agreements with and the terms and conditions, certain policies, guidelines, codes and directives of the Distribution Company, the Transmission Administrator and the Power Pool of Alberta and the legislation, regulations, rules, codes, instructions, policies, pronouncements and other directives of other regulatory and governmental authorities, all as amended, replaced, repeated, restated or re-enacted, from time to time relating to the supply and delivery of electricity in Alberta (collectively, the "</w:t>
      </w:r>
      <w:r>
        <w:rPr>
          <w:b/>
          <w:sz w:val="14"/>
        </w:rPr>
        <w:t>Industry</w:t>
      </w:r>
      <w:r>
        <w:rPr>
          <w:sz w:val="14"/>
        </w:rPr>
        <w:t xml:space="preserve"> </w:t>
      </w:r>
      <w:r>
        <w:rPr>
          <w:b/>
          <w:sz w:val="14"/>
        </w:rPr>
        <w:t>Terms and Directives</w:t>
      </w:r>
      <w:r>
        <w:rPr>
          <w:sz w:val="14"/>
        </w:rPr>
        <w:t>").  The Customer agrees to cooperate with Enron Direct in order for Enron Direct to comply with the Industry Terms and Directives and to promptly execute any documents or directives, including but not limited to the Distribution Company's customer information authorizations, reasonably requested by Enron Direct.</w:t>
      </w:r>
      <w:bookmarkEnd w:id="10"/>
    </w:p>
    <w:p>
      <w:pPr>
        <w:pStyle w:val="List"/>
        <w:numPr>
          <w:ilvl w:val="0"/>
          <w:numId w:val="0"/>
        </w:numPr>
        <w:ind w:hanging="0" w:start="0"/>
        <w:rPr/>
      </w:pPr>
      <w:r>
        <w:rPr>
          <w:sz w:val="14"/>
        </w:rPr>
        <w:t>The Customer acknowledges and agrees that it is bound by certain terms and conditions of the Distribution Company as a “wire service provider”, as approved by applicable regulatory authorities where necessary, and may be bound by certain policies, guidelines and directives of the Distribution Company, all as amended, replaced, repeated, restated or re-enacted from time to time (collectively, the “</w:t>
      </w:r>
      <w:r>
        <w:rPr>
          <w:b/>
          <w:sz w:val="14"/>
        </w:rPr>
        <w:t>Customer Terms and Directives</w:t>
      </w:r>
      <w:r>
        <w:rPr>
          <w:sz w:val="14"/>
        </w:rPr>
        <w:t>”) and the failure to adhere or comply with such Customer Terms and Conditions may result in, amongst other repercussions, the Customer being disconnected from the electric system and Enron Direct being unable to supply electricity to the Service Address.  The Customer agrees to provide notice of supply and service charges to the Distribution Company directly where necessary.</w:t>
      </w:r>
    </w:p>
    <w:p>
      <w:pPr>
        <w:pStyle w:val="List"/>
        <w:numPr>
          <w:ilvl w:val="0"/>
          <w:numId w:val="5"/>
        </w:numPr>
        <w:spacing w:before="0" w:after="60"/>
        <w:ind w:hanging="0" w:start="0"/>
        <w:rPr>
          <w:sz w:val="14"/>
        </w:rPr>
      </w:pPr>
      <w:bookmarkStart w:id="11" w:name="_Ref509826593"/>
      <w:r>
        <w:rPr>
          <w:b/>
          <w:sz w:val="14"/>
        </w:rPr>
        <w:t>Customer Indemnity:</w:t>
      </w:r>
      <w:r>
        <w:rPr>
          <w:sz w:val="14"/>
        </w:rPr>
        <w:t xml:space="preserve">  Customer agrees that it will indemnify and save harmless Enron Direct, its affiliates, the respective directors, officers, and employees, and the permitted assigns of Enron Direct and its affiliates (collectively, "</w:t>
      </w:r>
      <w:r>
        <w:rPr>
          <w:b/>
          <w:sz w:val="14"/>
        </w:rPr>
        <w:t>Enron and its Representatives</w:t>
      </w:r>
      <w:r>
        <w:rPr>
          <w:sz w:val="14"/>
        </w:rPr>
        <w:t>") in full for any loss, damage, injury, liability or cost which any of Enron and its Representatives, as applicable, suffers arising from, or incurs as a consequence of, any act or omission of Customer relating to the supply or delivery of electricity to the Service Address including, without limitation to the foregoing, any claim resulting from any default or breach by the Customer, or any failure of the Customer to perform any obligation relating to the Contract or any obligation to any third party, including, but not limited to, under any agreement with the Distribution Company.</w:t>
      </w:r>
      <w:bookmarkEnd w:id="11"/>
    </w:p>
    <w:p>
      <w:pPr>
        <w:pStyle w:val="List"/>
        <w:numPr>
          <w:ilvl w:val="0"/>
          <w:numId w:val="0"/>
        </w:numPr>
        <w:spacing w:before="0" w:after="60"/>
        <w:ind w:hanging="0" w:start="0"/>
        <w:rPr>
          <w:sz w:val="14"/>
        </w:rPr>
      </w:pPr>
      <w:r>
        <w:rPr>
          <w:sz w:val="14"/>
        </w:rPr>
      </w:r>
    </w:p>
    <w:p>
      <w:pPr>
        <w:pStyle w:val="List"/>
        <w:numPr>
          <w:ilvl w:val="0"/>
          <w:numId w:val="5"/>
        </w:numPr>
        <w:ind w:hanging="0" w:start="0"/>
        <w:rPr>
          <w:sz w:val="14"/>
        </w:rPr>
      </w:pPr>
      <w:r>
        <w:rPr>
          <w:b/>
          <w:sz w:val="14"/>
        </w:rPr>
        <w:t xml:space="preserve">Emergencies:  </w:t>
      </w:r>
      <w:r>
        <w:rPr>
          <w:sz w:val="14"/>
        </w:rPr>
        <w:t>The Customer shall notify the Distribution Company and Enron Direct immediately of the occurrence of any emergencies related to the supply of electricity to the Service Address or the electrical facilities serving the Service Address.</w:t>
      </w:r>
    </w:p>
    <w:p>
      <w:pPr>
        <w:pStyle w:val="List"/>
        <w:numPr>
          <w:ilvl w:val="0"/>
          <w:numId w:val="5"/>
        </w:numPr>
        <w:ind w:hanging="0" w:start="0"/>
        <w:rPr>
          <w:sz w:val="14"/>
        </w:rPr>
      </w:pPr>
      <w:r>
        <w:rPr>
          <w:b/>
          <w:sz w:val="14"/>
        </w:rPr>
        <w:t xml:space="preserve">Credit:  </w:t>
      </w:r>
      <w:r>
        <w:rPr>
          <w:sz w:val="14"/>
        </w:rPr>
        <w:t>The Customer shall satisfy Enron Direct that the Customer is capable of meeting its obligations hereunder by satisfying, at the sole discretion of Enron Direct, the following credit and security requirements: (a) the Customer shall provide information that may reasonably be deemed necessary to establish and monitor the Customer's ability to pay; and (b) the Customer shall provide and maintain one of the following forms of security: (i) a guarantee of payment from a guarantor who satisfies Enron Direct's credit requirements; (ii) an irrevocable letter of credit from a Canadian chartered bank or equivalent lending institution satisfactory to Enron Direct; or (iii) a such other collateral as may be reasonably acceptable to Enron Direct.  The Customer’s initial security requirements, as are be subject to change by Enron Direct from time to time, are set forth in Exhibit “I” to these Terms and Conditions.</w:t>
      </w:r>
    </w:p>
    <w:p>
      <w:pPr>
        <w:pStyle w:val="Normal"/>
        <w:rPr>
          <w:sz w:val="14"/>
        </w:rPr>
      </w:pPr>
      <w:r>
        <w:rPr>
          <w:sz w:val="14"/>
        </w:rPr>
        <w:t>If the Customer is unable to satisfy either the credit or security requirements, it will be required to prepay any amounts expected to become payable under the Contract. Notwithstanding any credit or security arrangements, Enron Direct, in its discretion, may require prepayment as a condition precedent to providing the services under the Contract.</w:t>
      </w:r>
    </w:p>
    <w:p>
      <w:pPr>
        <w:pStyle w:val="List"/>
        <w:numPr>
          <w:ilvl w:val="0"/>
          <w:numId w:val="5"/>
        </w:numPr>
        <w:ind w:hanging="0" w:start="0"/>
        <w:rPr>
          <w:sz w:val="14"/>
        </w:rPr>
      </w:pPr>
      <w:bookmarkStart w:id="12" w:name="_Ref510410979"/>
      <w:r>
        <w:rPr>
          <w:b/>
          <w:sz w:val="14"/>
        </w:rPr>
        <w:t>Limitation On Liability:</w:t>
      </w:r>
      <w:r>
        <w:rPr>
          <w:sz w:val="14"/>
        </w:rPr>
        <w:t xml:space="preserve">  The Customer and Enron Direct agree that the total aggregate liability of Enron and its Representatives to the Customer or any other person, whether in contract, tort (including negligence or breach of statutory duty) or otherwise arising, directly or indirectly under or in connection with the matters contemplated by the Contract shall in no circumstances exceed $25,000.  Enron and its Representatives partners shall have no liability, under any circumstances, to the Customer for any economic, consequential, special, punitive, exemplary, incidental or indirect damages arising from or in connection with the Contract or the supply, delivery, purchase or sale of electricity under the Contract. The Customer acknowledges that the exclusions from, and limitations to, liability contained herein are reasonable given, among other matters, the possibility that the amount of damages that could be awarded to the Customer against Enron Direct would otherwise be disproportionate to the revenues which Enron Direct would receive under the Contract.</w:t>
      </w:r>
      <w:bookmarkEnd w:id="12"/>
    </w:p>
    <w:p>
      <w:pPr>
        <w:pStyle w:val="List"/>
        <w:numPr>
          <w:ilvl w:val="0"/>
          <w:numId w:val="5"/>
        </w:numPr>
        <w:ind w:hanging="0" w:start="0"/>
        <w:rPr>
          <w:b/>
          <w:sz w:val="14"/>
        </w:rPr>
      </w:pPr>
      <w:bookmarkStart w:id="13" w:name="_Ref510410774"/>
      <w:r>
        <w:rPr>
          <w:b/>
          <w:sz w:val="14"/>
        </w:rPr>
        <w:t xml:space="preserve">Termination: </w:t>
      </w:r>
      <w:r>
        <w:rPr>
          <w:sz w:val="14"/>
        </w:rPr>
        <w:t>In addition to any other remedies the parties may have in equity, at law or under the Contract, the parties may terminate the Contract on any of the following circumstances:</w:t>
      </w:r>
      <w:bookmarkEnd w:id="13"/>
    </w:p>
    <w:p>
      <w:pPr>
        <w:pStyle w:val="Normal"/>
        <w:ind w:hanging="360" w:start="360" w:end="0"/>
        <w:rPr>
          <w:sz w:val="14"/>
        </w:rPr>
      </w:pPr>
      <w:r>
        <w:rPr>
          <w:sz w:val="14"/>
        </w:rPr>
        <w:t>(a)</w:t>
        <w:tab/>
        <w:t>immediately by one party, where the other party: (i) makes an assignment or arrangement for the benefit of, or protection from, any of its creditors; (ii) files a petition, obtains any ruling, order, directive or pronouncement, or otherwise commences, authorizes or acquiesces in the commencement of a proceeding or action under any Insolvency Law, or permits any material portion of its assets to be made subject to any seizure or realization; (iii) has any petition filed, any ruling, order, directive or pronouncement obtained, or any proceeding or action commenced under any Insolvency Law against it or have any material portion of its assets made subject to any seizure or realization and such petition, ruling, order, directive, pronouncement, proceeding, action, seizure or realization remains undismissed for 30 days; (iv) shall otherwise become bankrupt or insolvent (however evidenced); or  (v) shall be unable to pay its debts as they fall due;</w:t>
      </w:r>
    </w:p>
    <w:p>
      <w:pPr>
        <w:pStyle w:val="Normal"/>
        <w:ind w:hanging="360" w:start="360" w:end="0"/>
        <w:rPr>
          <w:sz w:val="14"/>
        </w:rPr>
      </w:pPr>
      <w:r>
        <w:rPr>
          <w:sz w:val="14"/>
        </w:rPr>
        <w:t xml:space="preserve">(b) </w:t>
        <w:tab/>
        <w:t>on written notice by Enron Direct, if Enron Direct is unable or is prevented from complying with any of the obligations it owes to the Distribution Company or if the Distribution Company is unable or is prevented from complying with any of the obligations it owes to Enron Direct;</w:t>
      </w:r>
    </w:p>
    <w:p>
      <w:pPr>
        <w:pStyle w:val="Normal"/>
        <w:ind w:hanging="360" w:start="360" w:end="0"/>
        <w:rPr/>
      </w:pPr>
      <w:r>
        <w:rPr>
          <w:sz w:val="14"/>
        </w:rPr>
        <w:t>(c)</w:t>
        <w:tab/>
        <w:t>immediately by Enron Direct if, as determined by Enron Direct, any: (i) amendment to applicable law, by-law, statute, regulation, rule, ordinance, policy, order, code, information letter, guideline, bulletin or directive (each, a "</w:t>
      </w:r>
      <w:r>
        <w:rPr>
          <w:b/>
          <w:sz w:val="14"/>
        </w:rPr>
        <w:t>Change of Law</w:t>
      </w:r>
      <w:r>
        <w:rPr>
          <w:sz w:val="14"/>
        </w:rPr>
        <w:t>"), or (ii) judicial or regulatory order (each, an "</w:t>
      </w:r>
      <w:r>
        <w:rPr>
          <w:b/>
          <w:sz w:val="14"/>
        </w:rPr>
        <w:t>Order</w:t>
      </w:r>
      <w:r>
        <w:rPr>
          <w:sz w:val="14"/>
        </w:rPr>
        <w:t>"), requires, directs or makes desirable, directly or indirectly, that a material term be amended, inserted or deleted in the Contract and Enron Direct notifies the Customer that it wishes to renegotiate the terms and conditions of the Contract in connection with such amendment, insertion or deletion and the parties are unable to agree upon the revised terms and conditions of the Contract within 30 days of such notice;</w:t>
      </w:r>
    </w:p>
    <w:p>
      <w:pPr>
        <w:pStyle w:val="Normal"/>
        <w:ind w:hanging="360" w:start="360" w:end="0"/>
        <w:rPr>
          <w:sz w:val="14"/>
        </w:rPr>
      </w:pPr>
      <w:r>
        <w:rPr>
          <w:sz w:val="14"/>
        </w:rPr>
        <w:t>(d)</w:t>
        <w:tab/>
        <w:t>immediately by Enron Direct if the Customer fails to pay its account when due or commits any other breach of the Contract and such failure is not remedied within 5 business days of delivery of written notice;</w:t>
      </w:r>
    </w:p>
    <w:p>
      <w:pPr>
        <w:pStyle w:val="Normal"/>
        <w:ind w:hanging="360" w:start="360" w:end="0"/>
        <w:rPr>
          <w:sz w:val="14"/>
        </w:rPr>
      </w:pPr>
      <w:r>
        <w:rPr>
          <w:sz w:val="14"/>
        </w:rPr>
        <w:t>(e)</w:t>
        <w:tab/>
        <w:t xml:space="preserve"> immediately by Enron Direct if the Distribution Company no longer services the Service Address for any reason or takes any step to disconnect supply, other than as a result of an emergency or to facilitate repairs to the electrical facilities;</w:t>
      </w:r>
    </w:p>
    <w:p>
      <w:pPr>
        <w:pStyle w:val="Normal"/>
        <w:ind w:hanging="360" w:start="360" w:end="0"/>
        <w:rPr>
          <w:sz w:val="14"/>
        </w:rPr>
      </w:pPr>
      <w:r>
        <w:rPr>
          <w:sz w:val="14"/>
        </w:rPr>
        <w:t>(f)</w:t>
        <w:tab/>
        <w:t>immediately by Enron Direct if the Customer authorizes another electricity supplier as a “retailer” (as defined in the EU Act) for the Service Address during the Term or if any other electricity supplier is appointed by the Distribution Company to supply electricity to the Service Address during the Term due to an event of default affecting the Customer;</w:t>
      </w:r>
    </w:p>
    <w:p>
      <w:pPr>
        <w:pStyle w:val="Normal"/>
        <w:ind w:hanging="360" w:start="360" w:end="0"/>
        <w:rPr>
          <w:sz w:val="14"/>
        </w:rPr>
      </w:pPr>
      <w:r>
        <w:rPr>
          <w:sz w:val="14"/>
        </w:rPr>
        <w:t>(g)</w:t>
        <w:tab/>
        <w:t xml:space="preserve">immediately by Enron Direct if the Contract or any part thereof is assigned without the consent of Enron Direct; or </w:t>
      </w:r>
    </w:p>
    <w:p>
      <w:pPr>
        <w:pStyle w:val="Normal"/>
        <w:ind w:hanging="360" w:start="360" w:end="0"/>
        <w:rPr>
          <w:sz w:val="14"/>
        </w:rPr>
      </w:pPr>
      <w:r>
        <w:rPr>
          <w:sz w:val="14"/>
        </w:rPr>
        <w:t>(h)</w:t>
        <w:tab/>
        <w:t>immediately by Enron Direct if the Service Address is, at any time during the Term, owned or occupied by any person other than the Customer.</w:t>
      </w:r>
    </w:p>
    <w:p>
      <w:pPr>
        <w:pStyle w:val="Normal"/>
        <w:rPr>
          <w:sz w:val="14"/>
        </w:rPr>
      </w:pPr>
      <w:r>
        <w:rPr>
          <w:sz w:val="14"/>
        </w:rPr>
        <w:t>Either party may give the other party additional warnings before it terminates the Contract.  The additional warnings shall not operate to extend the termination notice periods set out above.</w:t>
      </w:r>
    </w:p>
    <w:p>
      <w:pPr>
        <w:pStyle w:val="List"/>
        <w:numPr>
          <w:ilvl w:val="0"/>
          <w:numId w:val="5"/>
        </w:numPr>
        <w:ind w:hanging="0" w:start="0"/>
        <w:rPr>
          <w:sz w:val="14"/>
        </w:rPr>
      </w:pPr>
      <w:r>
        <w:rPr>
          <w:b/>
          <w:sz w:val="14"/>
        </w:rPr>
        <w:t xml:space="preserve">Amendments: </w:t>
      </w:r>
      <w:r>
        <w:rPr>
          <w:sz w:val="14"/>
        </w:rPr>
        <w:t>The Contract may only be amended by written instrument signed by the parties.</w:t>
      </w:r>
    </w:p>
    <w:p>
      <w:pPr>
        <w:pStyle w:val="List"/>
        <w:numPr>
          <w:ilvl w:val="0"/>
          <w:numId w:val="5"/>
        </w:numPr>
        <w:ind w:hanging="0" w:start="0"/>
        <w:rPr>
          <w:sz w:val="14"/>
        </w:rPr>
      </w:pPr>
      <w:r>
        <w:rPr>
          <w:b/>
          <w:sz w:val="14"/>
        </w:rPr>
        <w:t xml:space="preserve">Records: </w:t>
      </w:r>
      <w:r>
        <w:rPr>
          <w:sz w:val="14"/>
        </w:rPr>
        <w:t>The Customer has the right to inspect the records of Enron Direct relating to the Contract at Enron Direct's head office in Calgary, Alberta, during the normal business hours of such office.</w:t>
      </w:r>
    </w:p>
    <w:p>
      <w:pPr>
        <w:pStyle w:val="List"/>
        <w:numPr>
          <w:ilvl w:val="0"/>
          <w:numId w:val="5"/>
        </w:numPr>
        <w:ind w:hanging="0" w:start="0"/>
        <w:rPr>
          <w:sz w:val="14"/>
        </w:rPr>
      </w:pPr>
      <w:r>
        <w:rPr>
          <w:b/>
          <w:sz w:val="14"/>
        </w:rPr>
        <w:t>Title and Risk:</w:t>
      </w:r>
      <w:r>
        <w:rPr>
          <w:sz w:val="14"/>
        </w:rPr>
        <w:t xml:space="preserve"> Electricity shall be supplied at the connection point between the Distribution Company's and the Customer's electrical facilities. The entitlement to and risk associated with the electricity will pass to the Customer at that point. </w:t>
      </w:r>
    </w:p>
    <w:p>
      <w:pPr>
        <w:pStyle w:val="List"/>
        <w:numPr>
          <w:ilvl w:val="0"/>
          <w:numId w:val="5"/>
        </w:numPr>
        <w:ind w:hanging="0" w:start="0"/>
        <w:rPr>
          <w:sz w:val="14"/>
        </w:rPr>
      </w:pPr>
      <w:bookmarkStart w:id="14" w:name="_Ref510410999"/>
      <w:r>
        <w:rPr>
          <w:b/>
          <w:sz w:val="14"/>
        </w:rPr>
        <w:t>Assignment:</w:t>
      </w:r>
      <w:r>
        <w:rPr>
          <w:sz w:val="14"/>
        </w:rPr>
        <w:t xml:space="preserve">  Neither party shall assign or otherwise transfer any of its rights under the Contract without the prior written consent of the other party, such consent not to be unreasonably withheld; provided however, Enron Direct may assign or otherwise transfer any of its rights under the Contract to its affiliates without the consent of the Customer.  Other than with the consent of the other party or in the case of an assignment by Enron Direct to an affiliate, no assignment or transfer shall relieve the assignor or transferor of any of its obligations under the Contract.</w:t>
      </w:r>
      <w:bookmarkEnd w:id="14"/>
    </w:p>
    <w:p>
      <w:pPr>
        <w:pStyle w:val="List"/>
        <w:numPr>
          <w:ilvl w:val="0"/>
          <w:numId w:val="5"/>
        </w:numPr>
        <w:ind w:hanging="0" w:start="0"/>
        <w:rPr>
          <w:sz w:val="14"/>
        </w:rPr>
      </w:pPr>
      <w:r>
        <w:rPr>
          <w:b/>
          <w:sz w:val="14"/>
        </w:rPr>
        <w:t xml:space="preserve">Survival:  </w:t>
      </w:r>
      <w:r>
        <w:rPr>
          <w:sz w:val="14"/>
        </w:rPr>
        <w:t xml:space="preserve">The provisions of Sections </w:t>
      </w:r>
      <w:r>
        <w:rPr>
          <w:sz w:val="14"/>
        </w:rPr>
        <w:fldChar w:fldCharType="begin"/>
      </w:r>
      <w:r>
        <w:rPr>
          <w:sz w:val="14"/>
        </w:rPr>
        <w:instrText xml:space="preserve"> REF _Ref510410868 \r \r \h </w:instrText>
      </w:r>
      <w:r>
        <w:rPr>
          <w:sz w:val="14"/>
        </w:rPr>
        <w:fldChar w:fldCharType="separate"/>
      </w:r>
      <w:r>
        <w:rPr>
          <w:sz w:val="14"/>
        </w:rPr>
        <w:t>9</w:t>
      </w:r>
      <w:r>
        <w:rPr>
          <w:sz w:val="14"/>
        </w:rPr>
        <w:fldChar w:fldCharType="end"/>
      </w:r>
      <w:r>
        <w:rPr>
          <w:sz w:val="14"/>
        </w:rPr>
        <w:t xml:space="preserve">, </w:t>
      </w:r>
      <w:r>
        <w:rPr>
          <w:sz w:val="14"/>
        </w:rPr>
        <w:fldChar w:fldCharType="begin"/>
      </w:r>
      <w:r>
        <w:rPr>
          <w:sz w:val="14"/>
        </w:rPr>
        <w:instrText xml:space="preserve"> REF _Ref510410879 \r \r \h </w:instrText>
      </w:r>
      <w:r>
        <w:rPr>
          <w:sz w:val="14"/>
        </w:rPr>
        <w:fldChar w:fldCharType="separate"/>
      </w:r>
      <w:r>
        <w:rPr>
          <w:sz w:val="14"/>
        </w:rPr>
        <w:t>10</w:t>
      </w:r>
      <w:r>
        <w:rPr>
          <w:sz w:val="14"/>
        </w:rPr>
        <w:fldChar w:fldCharType="end"/>
      </w:r>
      <w:r>
        <w:rPr>
          <w:sz w:val="14"/>
        </w:rPr>
        <w:t xml:space="preserve">, </w:t>
      </w:r>
      <w:r>
        <w:rPr>
          <w:sz w:val="14"/>
        </w:rPr>
        <w:fldChar w:fldCharType="begin"/>
      </w:r>
      <w:r>
        <w:rPr>
          <w:sz w:val="14"/>
        </w:rPr>
        <w:instrText xml:space="preserve"> REF _Ref510410901 \r \r \h </w:instrText>
      </w:r>
      <w:r>
        <w:rPr>
          <w:sz w:val="14"/>
        </w:rPr>
        <w:fldChar w:fldCharType="separate"/>
      </w:r>
      <w:r>
        <w:rPr>
          <w:sz w:val="14"/>
        </w:rPr>
        <w:t>12</w:t>
      </w:r>
      <w:r>
        <w:rPr>
          <w:sz w:val="14"/>
        </w:rPr>
        <w:fldChar w:fldCharType="end"/>
      </w:r>
      <w:r>
        <w:rPr>
          <w:sz w:val="14"/>
        </w:rPr>
        <w:t xml:space="preserve">, </w:t>
      </w:r>
      <w:r>
        <w:rPr>
          <w:sz w:val="14"/>
        </w:rPr>
        <w:fldChar w:fldCharType="begin"/>
      </w:r>
      <w:r>
        <w:rPr>
          <w:sz w:val="14"/>
        </w:rPr>
        <w:instrText xml:space="preserve"> REF _Ref510410817 \r \r \h </w:instrText>
      </w:r>
      <w:r>
        <w:rPr>
          <w:sz w:val="14"/>
        </w:rPr>
        <w:fldChar w:fldCharType="separate"/>
      </w:r>
      <w:r>
        <w:rPr>
          <w:sz w:val="14"/>
        </w:rPr>
        <w:t>13</w:t>
      </w:r>
      <w:r>
        <w:rPr>
          <w:sz w:val="14"/>
        </w:rPr>
        <w:fldChar w:fldCharType="end"/>
      </w:r>
      <w:r>
        <w:rPr>
          <w:sz w:val="14"/>
        </w:rPr>
        <w:t xml:space="preserve">, </w:t>
      </w:r>
      <w:r>
        <w:rPr>
          <w:sz w:val="14"/>
        </w:rPr>
        <w:fldChar w:fldCharType="begin"/>
      </w:r>
      <w:r>
        <w:rPr>
          <w:sz w:val="14"/>
        </w:rPr>
        <w:instrText xml:space="preserve"> REF _Ref510410922 \r \r \h </w:instrText>
      </w:r>
      <w:r>
        <w:rPr>
          <w:sz w:val="14"/>
        </w:rPr>
        <w:fldChar w:fldCharType="separate"/>
      </w:r>
      <w:r>
        <w:rPr>
          <w:sz w:val="14"/>
        </w:rPr>
        <w:t>14</w:t>
      </w:r>
      <w:r>
        <w:rPr>
          <w:sz w:val="14"/>
        </w:rPr>
        <w:fldChar w:fldCharType="end"/>
      </w:r>
      <w:r>
        <w:rPr>
          <w:sz w:val="14"/>
        </w:rPr>
        <w:t xml:space="preserve">, </w:t>
      </w:r>
      <w:r>
        <w:rPr>
          <w:sz w:val="14"/>
        </w:rPr>
        <w:fldChar w:fldCharType="begin"/>
      </w:r>
      <w:r>
        <w:rPr>
          <w:sz w:val="14"/>
        </w:rPr>
        <w:instrText xml:space="preserve"> REF _Ref510410931 \r \r \h </w:instrText>
      </w:r>
      <w:r>
        <w:rPr>
          <w:sz w:val="14"/>
        </w:rPr>
        <w:fldChar w:fldCharType="separate"/>
      </w:r>
      <w:r>
        <w:rPr>
          <w:sz w:val="14"/>
        </w:rPr>
        <w:t>15</w:t>
      </w:r>
      <w:r>
        <w:rPr>
          <w:sz w:val="14"/>
        </w:rPr>
        <w:fldChar w:fldCharType="end"/>
      </w:r>
      <w:r>
        <w:rPr>
          <w:sz w:val="14"/>
        </w:rPr>
        <w:t xml:space="preserve">, </w:t>
      </w:r>
      <w:r>
        <w:rPr>
          <w:sz w:val="14"/>
        </w:rPr>
        <w:fldChar w:fldCharType="begin"/>
      </w:r>
      <w:r>
        <w:rPr>
          <w:sz w:val="14"/>
        </w:rPr>
        <w:instrText xml:space="preserve"> REF _Ref510410940 \r \r \h </w:instrText>
      </w:r>
      <w:r>
        <w:rPr>
          <w:sz w:val="14"/>
        </w:rPr>
        <w:fldChar w:fldCharType="separate"/>
      </w:r>
      <w:r>
        <w:rPr>
          <w:sz w:val="14"/>
        </w:rPr>
        <w:t>16</w:t>
      </w:r>
      <w:r>
        <w:rPr>
          <w:sz w:val="14"/>
        </w:rPr>
        <w:fldChar w:fldCharType="end"/>
      </w:r>
      <w:r>
        <w:rPr>
          <w:sz w:val="14"/>
        </w:rPr>
        <w:t xml:space="preserve">, </w:t>
      </w:r>
      <w:r>
        <w:rPr>
          <w:sz w:val="14"/>
        </w:rPr>
        <w:fldChar w:fldCharType="begin"/>
      </w:r>
      <w:r>
        <w:rPr>
          <w:sz w:val="14"/>
        </w:rPr>
        <w:instrText xml:space="preserve"> REF _Ref510410951 \r \r \h </w:instrText>
      </w:r>
      <w:r>
        <w:rPr>
          <w:sz w:val="14"/>
        </w:rPr>
        <w:fldChar w:fldCharType="separate"/>
      </w:r>
      <w:r>
        <w:rPr>
          <w:sz w:val="14"/>
        </w:rPr>
        <w:t>17</w:t>
      </w:r>
      <w:r>
        <w:rPr>
          <w:sz w:val="14"/>
        </w:rPr>
        <w:fldChar w:fldCharType="end"/>
      </w:r>
      <w:r>
        <w:rPr>
          <w:sz w:val="14"/>
        </w:rPr>
        <w:t xml:space="preserve">, </w:t>
      </w:r>
      <w:r>
        <w:rPr>
          <w:sz w:val="14"/>
        </w:rPr>
        <w:fldChar w:fldCharType="begin"/>
      </w:r>
      <w:r>
        <w:rPr>
          <w:sz w:val="14"/>
        </w:rPr>
        <w:instrText xml:space="preserve"> REF _Ref510410960 \r \r \h </w:instrText>
      </w:r>
      <w:r>
        <w:rPr>
          <w:sz w:val="14"/>
        </w:rPr>
        <w:fldChar w:fldCharType="separate"/>
      </w:r>
      <w:r>
        <w:rPr>
          <w:sz w:val="14"/>
        </w:rPr>
        <w:t>19</w:t>
      </w:r>
      <w:r>
        <w:rPr>
          <w:sz w:val="14"/>
        </w:rPr>
        <w:fldChar w:fldCharType="end"/>
      </w:r>
      <w:r>
        <w:rPr>
          <w:sz w:val="14"/>
        </w:rPr>
        <w:t xml:space="preserve">, </w:t>
      </w:r>
      <w:r>
        <w:rPr>
          <w:sz w:val="14"/>
        </w:rPr>
        <w:fldChar w:fldCharType="begin"/>
      </w:r>
      <w:r>
        <w:rPr>
          <w:sz w:val="14"/>
        </w:rPr>
        <w:instrText xml:space="preserve"> REF _Ref509826593 \r \r \h </w:instrText>
      </w:r>
      <w:r>
        <w:rPr>
          <w:sz w:val="14"/>
        </w:rPr>
        <w:fldChar w:fldCharType="separate"/>
      </w:r>
      <w:r>
        <w:rPr>
          <w:sz w:val="14"/>
        </w:rPr>
        <w:t>20</w:t>
      </w:r>
      <w:r>
        <w:rPr>
          <w:sz w:val="14"/>
        </w:rPr>
        <w:fldChar w:fldCharType="end"/>
      </w:r>
      <w:r>
        <w:rPr>
          <w:sz w:val="14"/>
        </w:rPr>
        <w:t xml:space="preserve">, </w:t>
      </w:r>
      <w:r>
        <w:rPr>
          <w:sz w:val="14"/>
        </w:rPr>
        <w:fldChar w:fldCharType="begin"/>
      </w:r>
      <w:r>
        <w:rPr>
          <w:sz w:val="14"/>
        </w:rPr>
        <w:instrText xml:space="preserve"> REF _Ref510410979 \r \r \h </w:instrText>
      </w:r>
      <w:r>
        <w:rPr>
          <w:sz w:val="14"/>
        </w:rPr>
        <w:fldChar w:fldCharType="separate"/>
      </w:r>
      <w:r>
        <w:rPr>
          <w:sz w:val="14"/>
        </w:rPr>
        <w:t>23</w:t>
      </w:r>
      <w:r>
        <w:rPr>
          <w:sz w:val="14"/>
        </w:rPr>
        <w:fldChar w:fldCharType="end"/>
      </w:r>
      <w:r>
        <w:rPr>
          <w:sz w:val="14"/>
        </w:rPr>
        <w:t xml:space="preserve">, </w:t>
      </w:r>
      <w:r>
        <w:rPr>
          <w:sz w:val="14"/>
        </w:rPr>
        <w:fldChar w:fldCharType="begin"/>
      </w:r>
      <w:r>
        <w:rPr>
          <w:sz w:val="14"/>
        </w:rPr>
        <w:instrText xml:space="preserve"> REF _Ref510410999 \r \r \h </w:instrText>
      </w:r>
      <w:r>
        <w:rPr>
          <w:sz w:val="14"/>
        </w:rPr>
        <w:fldChar w:fldCharType="separate"/>
      </w:r>
      <w:r>
        <w:rPr>
          <w:sz w:val="14"/>
        </w:rPr>
        <w:t>28</w:t>
      </w:r>
      <w:r>
        <w:rPr>
          <w:sz w:val="14"/>
        </w:rPr>
        <w:fldChar w:fldCharType="end"/>
      </w:r>
      <w:r>
        <w:rPr>
          <w:sz w:val="14"/>
        </w:rPr>
        <w:t xml:space="preserve"> and </w:t>
      </w:r>
      <w:r>
        <w:rPr>
          <w:sz w:val="14"/>
        </w:rPr>
        <w:fldChar w:fldCharType="begin"/>
      </w:r>
      <w:r>
        <w:rPr>
          <w:sz w:val="14"/>
        </w:rPr>
        <w:instrText xml:space="preserve"> REF _Ref510411008 \r \r \h </w:instrText>
      </w:r>
      <w:r>
        <w:rPr>
          <w:sz w:val="14"/>
        </w:rPr>
        <w:fldChar w:fldCharType="separate"/>
      </w:r>
      <w:r>
        <w:rPr>
          <w:sz w:val="14"/>
        </w:rPr>
        <w:t>32</w:t>
      </w:r>
      <w:r>
        <w:rPr>
          <w:sz w:val="14"/>
        </w:rPr>
        <w:fldChar w:fldCharType="end"/>
      </w:r>
      <w:r>
        <w:rPr>
          <w:sz w:val="14"/>
        </w:rPr>
        <w:t xml:space="preserve"> shall survive the termination of the Contract and shall be deemed to be continuing obligations for the benefit of the parties.</w:t>
      </w:r>
    </w:p>
    <w:p>
      <w:pPr>
        <w:pStyle w:val="List"/>
        <w:numPr>
          <w:ilvl w:val="0"/>
          <w:numId w:val="5"/>
        </w:numPr>
        <w:ind w:hanging="0" w:start="0"/>
        <w:rPr>
          <w:sz w:val="14"/>
        </w:rPr>
      </w:pPr>
      <w:r>
        <w:rPr>
          <w:b/>
          <w:sz w:val="14"/>
        </w:rPr>
        <w:t xml:space="preserve">No Waiver:  </w:t>
      </w:r>
      <w:r>
        <w:rPr>
          <w:sz w:val="14"/>
        </w:rPr>
        <w:t>No delay or omission by either party in exercising any right, power or remedy under the Contract shall be construed as a waiver of such right, power or remedy and any single or partial exercise shall not prevent any other or further exercise of the same or the exercise of any other right, power or remedy.</w:t>
      </w:r>
    </w:p>
    <w:p>
      <w:pPr>
        <w:pStyle w:val="List"/>
        <w:numPr>
          <w:ilvl w:val="0"/>
          <w:numId w:val="5"/>
        </w:numPr>
        <w:ind w:hanging="0" w:start="0"/>
        <w:rPr>
          <w:sz w:val="14"/>
        </w:rPr>
      </w:pPr>
      <w:r>
        <w:rPr>
          <w:b/>
          <w:sz w:val="14"/>
        </w:rPr>
        <w:t xml:space="preserve">Severance of Invalid Provisions:  </w:t>
      </w:r>
      <w:r>
        <w:rPr>
          <w:sz w:val="14"/>
        </w:rPr>
        <w:t>If and for so long as any provision of the Contract shall be deemed to be judged invalid for any reason whatsoever, such invalidity shall not affect the validity or operation of any other provision of the Contract except only so far as shall be necessary to give effect to the construction of such invalidity, and any such invalid provision shall be deemed to be severed from the Contract without affecting the validity of the balance of the Contract.</w:t>
      </w:r>
    </w:p>
    <w:p>
      <w:pPr>
        <w:pStyle w:val="List"/>
        <w:numPr>
          <w:ilvl w:val="0"/>
          <w:numId w:val="5"/>
        </w:numPr>
        <w:spacing w:before="0" w:after="120"/>
        <w:ind w:hanging="0" w:start="0"/>
        <w:rPr>
          <w:sz w:val="14"/>
        </w:rPr>
      </w:pPr>
      <w:bookmarkStart w:id="15" w:name="_Ref510411008"/>
      <w:r>
        <w:rPr>
          <w:b/>
          <w:sz w:val="14"/>
        </w:rPr>
        <w:t>Confidentiality:</w:t>
      </w:r>
      <w:r>
        <w:rPr>
          <w:sz w:val="14"/>
        </w:rPr>
        <w:t xml:space="preserve"> Except as specifically contemplated herein, the Customer shall not disclose the terms of any purchase and sale of electricity under the Contract to a third party (other the Customer’s employees, counsel, accountants or consultants who have agreed to keep such terms confidential) except in order to comply with any applicable law, order, regulation or exchange rule; provided, the Customer shall notify Enron Direct of any proceeding of which the Customer is aware which may result in disclosure and use reasonable efforts to prevent or limit the disclosure.  Enron Direct shall be entitled to all remedies available at law or in equity to enforce, or seek relief in connection with, this confidentiality obligation.</w:t>
      </w:r>
      <w:bookmarkEnd w:id="15"/>
      <w:r>
        <w:rPr>
          <w:sz w:val="14"/>
        </w:rPr>
        <w:t xml:space="preserve"> </w:t>
      </w:r>
    </w:p>
    <w:p>
      <w:pPr>
        <w:pStyle w:val="List"/>
        <w:numPr>
          <w:ilvl w:val="0"/>
          <w:numId w:val="5"/>
        </w:numPr>
        <w:ind w:hanging="0" w:start="0"/>
        <w:rPr>
          <w:sz w:val="14"/>
        </w:rPr>
      </w:pPr>
      <w:r>
        <w:rPr>
          <w:b/>
          <w:sz w:val="14"/>
        </w:rPr>
        <w:t xml:space="preserve">Entire Agreement:  </w:t>
      </w:r>
      <w:r>
        <w:rPr>
          <w:sz w:val="14"/>
        </w:rPr>
        <w:t>The Contract contains the entire agreement between the Customer and Enron Direct concerning the supply, delivery, purchase and sale of electricity to and on behalf of the Customer and it replaces any prior written or oral agreement between the parties concerning the foregoing. There are no verbal representations, rights or obligations that are not contained in the Contract. The laws of Alberta and the laws of Canada applicable in Alberta shall govern the Contract.</w:t>
      </w:r>
    </w:p>
    <w:p>
      <w:pPr>
        <w:sectPr>
          <w:type w:val="continuous"/>
          <w:pgSz w:w="12240" w:h="15840"/>
          <w:pgMar w:left="720" w:right="720" w:gutter="0" w:header="0" w:top="1440" w:footer="720" w:bottom="776"/>
          <w:cols w:num="2" w:space="708" w:equalWidth="true" w:sep="false"/>
          <w:formProt w:val="false"/>
          <w:textDirection w:val="lrTb"/>
          <w:docGrid w:type="default" w:linePitch="360" w:charSpace="0"/>
        </w:sectPr>
      </w:pPr>
    </w:p>
    <w:p>
      <w:pPr>
        <w:pStyle w:val="List"/>
        <w:numPr>
          <w:ilvl w:val="0"/>
          <w:numId w:val="0"/>
        </w:numPr>
        <w:ind w:hanging="0" w:start="0"/>
        <w:jc w:val="center"/>
        <w:rPr>
          <w:b/>
          <w:u w:val="single"/>
        </w:rPr>
      </w:pPr>
      <w:r>
        <w:rPr>
          <w:b/>
          <w:u w:val="single"/>
        </w:rPr>
        <w:t>EXHIBIT “I”</w:t>
      </w:r>
    </w:p>
    <w:p>
      <w:pPr>
        <w:pStyle w:val="List"/>
        <w:numPr>
          <w:ilvl w:val="0"/>
          <w:numId w:val="0"/>
        </w:numPr>
        <w:ind w:hanging="0" w:start="0"/>
        <w:jc w:val="center"/>
        <w:rPr>
          <w:bCs/>
        </w:rPr>
      </w:pPr>
      <w:r>
        <w:rPr>
          <w:b/>
        </w:rPr>
        <w:t>SECURITY REQUIREMENTS</w:t>
      </w:r>
    </w:p>
    <w:p>
      <w:pPr>
        <w:pStyle w:val="List"/>
        <w:numPr>
          <w:ilvl w:val="0"/>
          <w:numId w:val="0"/>
        </w:numPr>
        <w:ind w:hanging="0" w:start="0"/>
        <w:rPr>
          <w:bCs/>
        </w:rPr>
      </w:pPr>
      <w:r>
        <w:rPr>
          <w:bCs/>
        </w:rPr>
      </w:r>
    </w:p>
    <w:p>
      <w:pPr>
        <w:pStyle w:val="List"/>
        <w:numPr>
          <w:ilvl w:val="0"/>
          <w:numId w:val="0"/>
        </w:numPr>
        <w:spacing w:before="0" w:after="0"/>
        <w:ind w:hanging="0" w:start="0"/>
        <w:rPr/>
      </w:pPr>
      <w:r>
        <w:rPr/>
        <w:t>The initial security requirements of the Customer as of the date the Contract is entered is as follows:</w:t>
      </w:r>
    </w:p>
    <w:p>
      <w:pPr>
        <w:pStyle w:val="List"/>
        <w:numPr>
          <w:ilvl w:val="0"/>
          <w:numId w:val="0"/>
        </w:numPr>
        <w:spacing w:before="0" w:after="0"/>
        <w:ind w:hanging="0" w:start="0"/>
        <w:rPr/>
      </w:pPr>
      <w:r>
        <w:rPr/>
      </w:r>
    </w:p>
    <w:p>
      <w:pPr>
        <w:pStyle w:val="List"/>
        <w:numPr>
          <w:ilvl w:val="0"/>
          <w:numId w:val="0"/>
        </w:numPr>
        <w:spacing w:before="0" w:after="0"/>
        <w:ind w:hanging="0" w:start="0"/>
        <w:rPr/>
      </w:pPr>
      <w:r>
        <w:rPr/>
        <w:t>1.</w:t>
        <w:tab/>
        <w:t>a guarantee of payment from ________________________________; and/or</w:t>
      </w:r>
    </w:p>
    <w:p>
      <w:pPr>
        <w:pStyle w:val="List"/>
        <w:numPr>
          <w:ilvl w:val="0"/>
          <w:numId w:val="0"/>
        </w:numPr>
        <w:spacing w:before="0" w:after="0"/>
        <w:ind w:hanging="0" w:start="0"/>
        <w:rPr/>
      </w:pPr>
      <w:r>
        <w:rPr/>
      </w:r>
    </w:p>
    <w:p>
      <w:pPr>
        <w:pStyle w:val="List"/>
        <w:numPr>
          <w:ilvl w:val="0"/>
          <w:numId w:val="0"/>
        </w:numPr>
        <w:spacing w:before="0" w:after="0"/>
        <w:ind w:hanging="720" w:start="720" w:end="0"/>
        <w:rPr/>
      </w:pPr>
      <w:r>
        <w:rPr/>
        <w:t>2.</w:t>
        <w:tab/>
        <w:t>an irrevocable, transferable stand-by letter of credit which is issued or confirmed by a Schedule I Chartered Bank in Canada in a form acceptable to Enron Direct in the amount of $ _____________; and/or</w:t>
      </w:r>
    </w:p>
    <w:p>
      <w:pPr>
        <w:pStyle w:val="List"/>
        <w:numPr>
          <w:ilvl w:val="0"/>
          <w:numId w:val="0"/>
        </w:numPr>
        <w:spacing w:before="0" w:after="0"/>
        <w:ind w:hanging="0" w:start="0"/>
        <w:rPr/>
      </w:pPr>
      <w:r>
        <w:rPr/>
      </w:r>
    </w:p>
    <w:p>
      <w:pPr>
        <w:pStyle w:val="List"/>
        <w:numPr>
          <w:ilvl w:val="0"/>
          <w:numId w:val="0"/>
        </w:numPr>
        <w:spacing w:before="0" w:after="0"/>
        <w:ind w:hanging="0" w:start="0"/>
        <w:rPr/>
      </w:pPr>
      <w:r>
        <w:rPr/>
        <w:t>3.</w:t>
        <w:tab/>
        <w:t xml:space="preserve">other security as described: ______________________________________________________________________; and/or </w:t>
      </w:r>
    </w:p>
    <w:p>
      <w:pPr>
        <w:pStyle w:val="List"/>
        <w:numPr>
          <w:ilvl w:val="0"/>
          <w:numId w:val="0"/>
        </w:numPr>
        <w:spacing w:before="0" w:after="0"/>
        <w:ind w:hanging="0" w:start="0"/>
        <w:rPr/>
      </w:pPr>
      <w:r>
        <w:rPr/>
      </w:r>
    </w:p>
    <w:p>
      <w:pPr>
        <w:pStyle w:val="List"/>
        <w:numPr>
          <w:ilvl w:val="0"/>
          <w:numId w:val="0"/>
        </w:numPr>
        <w:spacing w:before="0" w:after="0"/>
        <w:ind w:hanging="0" w:start="0"/>
        <w:rPr/>
      </w:pPr>
      <w:r>
        <w:rPr/>
        <w:t>4.</w:t>
        <w:tab/>
        <w:t>none.</w:t>
      </w:r>
    </w:p>
    <w:sectPr>
      <w:footerReference w:type="default" r:id="rId9"/>
      <w:type w:val="nextPage"/>
      <w:pgSz w:w="12240" w:h="15840"/>
      <w:pgMar w:left="720" w:right="72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6"/>
      </w:rPr>
    </w:pPr>
    <w:r>
      <w:rPr>
        <w:sz w:val="16"/>
      </w:rPr>
      <w:fldChar w:fldCharType="begin"/>
    </w:r>
    <w:r>
      <w:rPr>
        <w:sz w:val="16"/>
      </w:rPr>
      <w:instrText xml:space="preserve"> FILENAME \p </w:instrText>
    </w:r>
    <w:r>
      <w:rPr>
        <w:sz w:val="16"/>
      </w:rPr>
      <w:fldChar w:fldCharType="separate"/>
    </w:r>
    <w:r>
      <w:rPr>
        <w:sz w:val="16"/>
      </w:rPr>
      <w:t>/mnt/main-storage/datasets/enron-docs/doc/Retail_Electricity_Agreement__Over_250_MWh__.v01.doc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/mnt/main-storage/datasets/enron-docs/doc/Retail_Electricity_Agreement__Over_250_MWh__.v01.doc</w:t>
    </w:r>
    <w:r>
      <w:rPr/>
      <w:fldChar w:fldCharType="end"/>
    </w:r>
    <w:r>
      <w:rPr/>
      <w:t xml:space="preserve"> </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5943600" cy="502920"/>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502920"/>
                      </a:xfrm>
                      <a:prstGeom prst="rect"/>
                      <a:solidFill>
                        <a:srgbClr val="FFFFFF">
                          <a:alpha val="0"/>
                        </a:srgbClr>
                      </a:solidFill>
                    </wps:spPr>
                    <wps:txbx>
                      <w:txbxContent>
                        <w:p>
                          <w:pPr>
                            <w:pStyle w:val="Footer"/>
                            <w:jc w:val="center"/>
                            <w:rPr>
                              <w:rStyle w:val="PageNumber"/>
                            </w:rPr>
                          </w:pPr>
                          <w:r>
                            <w:rPr/>
                          </w:r>
                        </w:p>
                        <w:p>
                          <w:pPr>
                            <w:pStyle w:val="Footer"/>
                            <w:spacing w:before="0" w:after="240"/>
                            <w:rPr>
                              <w:rStyle w:val="PageNumber"/>
                            </w:rPr>
                          </w:pPr>
                          <w:r>
                            <w:rPr/>
                          </w:r>
                        </w:p>
                      </w:txbxContent>
                    </wps:txbx>
                    <wps:bodyPr anchor="t" lIns="0" tIns="0" rIns="0" bIns="0">
                      <a:noAutofit/>
                    </wps:bodyPr>
                  </wps:wsp>
                </a:graphicData>
              </a:graphic>
            </wp:anchor>
          </w:drawing>
        </mc:Choice>
        <mc:Fallback>
          <w:pict>
            <v:rect fillcolor="#FFFFFF" style="position:absolute;rotation:-0;width:468pt;height:39.6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rPr>
                    </w:pPr>
                    <w:r>
                      <w:rPr/>
                    </w:r>
                  </w:p>
                  <w:p>
                    <w:pPr>
                      <w:pStyle w:val="Footer"/>
                      <w:spacing w:before="0" w:after="240"/>
                      <w:rPr>
                        <w:rStyle w:val="PageNumber"/>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/mnt/main-storage/datasets/enron-docs/doc/Retail_Electricity_Agreement__Over_250_MWh__.v01.doc</w:t>
    </w:r>
    <w:r>
      <w:rPr/>
      <w:fldChar w:fldCharType="end"/>
    </w:r>
    <w:r>
      <w:rPr/>
      <w:t xml:space="preserve"> </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92240" cy="445770"/>
              <wp:effectExtent l="0" t="0" r="0" b="0"/>
              <wp:wrapSquare wrapText="bothSides"/>
              <wp:docPr id="2" name="Frame2"/>
              <a:graphic xmlns:a="http://schemas.openxmlformats.org/drawingml/2006/main">
                <a:graphicData uri="http://schemas.microsoft.com/office/word/2010/wordprocessingShape">
                  <wps:wsp>
                    <wps:cNvSpPr txBox="1"/>
                    <wps:spPr>
                      <a:xfrm>
                        <a:off x="0" y="0"/>
                        <a:ext cx="6492240" cy="445770"/>
                      </a:xfrm>
                      <a:prstGeom prst="rect"/>
                      <a:solidFill>
                        <a:srgbClr val="FFFFFF">
                          <a:alpha val="0"/>
                        </a:srgbClr>
                      </a:solidFill>
                    </wps:spPr>
                    <wps:txbx>
                      <w:txbxContent>
                        <w:p>
                          <w:pPr>
                            <w:pStyle w:val="Footer"/>
                            <w:jc w:val="center"/>
                            <w:rPr>
                              <w:rStyle w:val="PageNumber"/>
                              <w:sz w:val="20"/>
                            </w:rPr>
                          </w:pPr>
                          <w:r>
                            <w:rPr/>
                          </w:r>
                        </w:p>
                        <w:p>
                          <w:pPr>
                            <w:pStyle w:val="Footer"/>
                            <w:spacing w:before="0" w:after="240"/>
                            <w:rPr>
                              <w:rStyle w:val="PageNumber"/>
                              <w:sz w:val="20"/>
                            </w:rPr>
                          </w:pPr>
                          <w:r>
                            <w:rPr/>
                          </w:r>
                        </w:p>
                      </w:txbxContent>
                    </wps:txbx>
                    <wps:bodyPr anchor="t" lIns="0" tIns="0" rIns="0" bIns="0">
                      <a:noAutofit/>
                    </wps:bodyPr>
                  </wps:wsp>
                </a:graphicData>
              </a:graphic>
            </wp:anchor>
          </w:drawing>
        </mc:Choice>
        <mc:Fallback>
          <w:pict>
            <v:rect fillcolor="#FFFFFF" style="position:absolute;rotation:-0;width:511.2pt;height:35.1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jc w:val="center"/>
                      <w:rPr>
                        <w:rStyle w:val="PageNumber"/>
                        <w:sz w:val="20"/>
                      </w:rPr>
                    </w:pPr>
                    <w:r>
                      <w:rPr/>
                    </w:r>
                  </w:p>
                  <w:p>
                    <w:pPr>
                      <w:pStyle w:val="Footer"/>
                      <w:spacing w:before="0" w:after="240"/>
                      <w:rPr>
                        <w:rStyle w:val="PageNumber"/>
                        <w:sz w:val="20"/>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DocID"/>
      <w:rPr/>
    </w:pPr>
    <w:r>
      <w:rPr/>
      <w:fldChar w:fldCharType="begin"/>
    </w:r>
    <w:r>
      <w:rPr/>
      <w:instrText xml:space="preserve"> FILENAME \p </w:instrText>
    </w:r>
    <w:r>
      <w:rPr/>
      <w:fldChar w:fldCharType="separate"/>
    </w:r>
    <w:r>
      <w:rPr/>
      <w:t>/mnt/main-storage/datasets/enron-docs/doc/Retail_Electricity_Agreement__Over_250_MWh__.v01.doc</w:t>
    </w:r>
    <w:r>
      <w:rPr/>
      <w:fldChar w:fldCharType="end"/>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spacing w:before="0" w:after="240"/>
                            <w:rPr>
                              <w:rStyle w:val="PageNumb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spacing w:before="0" w:after="240"/>
                      <w:rPr>
                        <w:rStyle w:val="PageNumb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720"/>
        </w:tabs>
        <w:ind w:start="720" w:hanging="720"/>
      </w:pPr>
      <w:rPr>
        <w:sz w:val="24"/>
        <w:i w:val="false"/>
        <w:b w:val="false"/>
        <w:rFonts w:ascii="Times New Roman" w:hAnsi="Times New Roman" w:cs="Times New Roman"/>
      </w:rPr>
    </w:lvl>
    <w:lvl w:ilvl="1">
      <w:start w:val="1"/>
      <w:pStyle w:val="Heading2"/>
      <w:numFmt w:val="lowerLetter"/>
      <w:lvlText w:val="(%2)"/>
      <w:lvlJc w:val="start"/>
      <w:pPr>
        <w:tabs>
          <w:tab w:val="num" w:pos="1440"/>
        </w:tabs>
        <w:ind w:start="1440" w:hanging="720"/>
      </w:pPr>
    </w:lvl>
    <w:lvl w:ilvl="2">
      <w:start w:val="1"/>
      <w:pStyle w:val="Heading3"/>
      <w:numFmt w:val="lowerRoman"/>
      <w:lvlText w:val="(%3)"/>
      <w:lvlJc w:val="start"/>
      <w:pPr>
        <w:tabs>
          <w:tab w:val="num" w:pos="2160"/>
        </w:tabs>
        <w:ind w:start="2160" w:hanging="720"/>
      </w:pPr>
    </w:lvl>
    <w:lvl w:ilvl="3">
      <w:start w:val="1"/>
      <w:numFmt w:val="upperLetter"/>
      <w:lvlText w:val="%4."/>
      <w:lvlJc w:val="start"/>
      <w:pPr>
        <w:tabs>
          <w:tab w:val="num" w:pos="2880"/>
        </w:tabs>
        <w:ind w:start="2880" w:hanging="720"/>
      </w:pPr>
    </w:lvl>
    <w:lvl w:ilvl="4">
      <w:start w:val="1"/>
      <w:pStyle w:val="Heading5"/>
      <w:numFmt w:val="upperRoman"/>
      <w:lvlText w:val="%5."/>
      <w:lvlJc w:val="start"/>
      <w:pPr>
        <w:tabs>
          <w:tab w:val="num" w:pos="3600"/>
        </w:tabs>
        <w:ind w:start="3600" w:hanging="720"/>
      </w:pPr>
    </w:lvl>
    <w:lvl w:ilvl="5">
      <w:start w:val="1"/>
      <w:pStyle w:val="Heading6"/>
      <w:numFmt w:val="decimal"/>
      <w:lvlText w:val="(%6)"/>
      <w:lvlJc w:val="start"/>
      <w:pPr>
        <w:tabs>
          <w:tab w:val="num" w:pos="4320"/>
        </w:tabs>
        <w:ind w:start="4320" w:hanging="720"/>
      </w:pPr>
    </w:lvl>
    <w:lvl w:ilvl="6">
      <w:start w:val="1"/>
      <w:pStyle w:val="Heading7"/>
      <w:numFmt w:val="lowerLetter"/>
      <w:lvlText w:val="%7."/>
      <w:lvlJc w:val="start"/>
      <w:pPr>
        <w:tabs>
          <w:tab w:val="num" w:pos="5040"/>
        </w:tabs>
        <w:ind w:start="5040" w:hanging="720"/>
      </w:pPr>
    </w:lvl>
    <w:lvl w:ilvl="7">
      <w:start w:val="1"/>
      <w:pStyle w:val="Heading8"/>
      <w:numFmt w:val="lowerRoman"/>
      <w:lvlText w:val="%8."/>
      <w:lvlJc w:val="start"/>
      <w:pPr>
        <w:tabs>
          <w:tab w:val="num" w:pos="5760"/>
        </w:tabs>
        <w:ind w:start="5760" w:hanging="720"/>
      </w:pPr>
    </w:lvl>
    <w:lvl w:ilvl="8">
      <w:start w:val="1"/>
      <w:pStyle w:val="Heading9"/>
      <w:numFmt w:val="decimal"/>
      <w:lvlText w:val="%9."/>
      <w:lvlJc w:val="start"/>
      <w:pPr>
        <w:tabs>
          <w:tab w:val="num" w:pos="6480"/>
        </w:tabs>
        <w:ind w:start="6480" w:hanging="720"/>
      </w:pPr>
    </w:lvl>
  </w:abstractNum>
  <w:abstractNum w:abstractNumId="2">
    <w:lvl w:ilvl="0">
      <w:start w:val="1"/>
      <w:numFmt w:val="decimal"/>
      <w:lvlText w:val="%1."/>
      <w:lvlJc w:val="start"/>
      <w:pPr>
        <w:tabs>
          <w:tab w:val="num" w:pos="1800"/>
        </w:tabs>
        <w:ind w:start="1800" w:hanging="360"/>
      </w:pPr>
    </w:lvl>
  </w:abstractNum>
  <w:abstractNum w:abstractNumId="3">
    <w:lvl w:ilvl="0">
      <w:start w:val="2"/>
      <w:numFmt w:val="upperLetter"/>
      <w:lvlText w:val="%1."/>
      <w:lvlJc w:val="start"/>
      <w:pPr>
        <w:tabs>
          <w:tab w:val="num" w:pos="720"/>
        </w:tabs>
        <w:ind w:start="720" w:hanging="720"/>
      </w:pPr>
      <w:rPr/>
    </w:lvl>
  </w:abstractNum>
  <w:abstractNum w:abstractNumId="4">
    <w:lvl w:ilvl="0">
      <w:start w:val="1"/>
      <w:numFmt w:val="lowerLetter"/>
      <w:lvlText w:val="(%1)"/>
      <w:lvlJc w:val="start"/>
      <w:pPr>
        <w:tabs>
          <w:tab w:val="num" w:pos="1440"/>
        </w:tabs>
        <w:ind w:start="1440" w:hanging="720"/>
      </w:pPr>
      <w:rPr>
        <w:sz w:val="20"/>
        <w:i w:val="false"/>
        <w:b w:val="false"/>
      </w:rPr>
    </w:lvl>
  </w:abstractNum>
  <w:abstractNum w:abstractNumId="5">
    <w:lvl w:ilvl="0">
      <w:start w:val="1"/>
      <w:numFmt w:val="decimal"/>
      <w:lvlText w:val="%1."/>
      <w:lvlJc w:val="start"/>
      <w:pPr>
        <w:tabs>
          <w:tab w:val="num" w:pos="360"/>
        </w:tabs>
        <w:ind w:start="0" w:hanging="0"/>
      </w:pPr>
      <w:rPr>
        <w:sz w:val="14"/>
        <w:i w:val="false"/>
        <w:b w:val="false"/>
        <w:rFonts w:ascii="Times New Roman" w:hAnsi="Times New Roman" w:cs="Times New Roman"/>
      </w:rPr>
    </w:lvl>
  </w:abstractNum>
  <w:abstractNum w:abstractNumId="6">
    <w:lvl w:ilvl="0">
      <w:start w:val="1"/>
      <w:numFmt w:val="upperLetter"/>
      <w:lvlText w:val="%1."/>
      <w:lvlJc w:val="start"/>
      <w:pPr>
        <w:tabs>
          <w:tab w:val="num" w:pos="360"/>
        </w:tabs>
        <w:ind w:start="360" w:hanging="360"/>
      </w:pPr>
    </w:lvl>
  </w:abstractNum>
  <w:abstractNum w:abstractNumId="7">
    <w:lvl w:ilvl="0">
      <w:start w:val="1"/>
      <w:numFmt w:val="upperLetter"/>
      <w:lvlText w:val="%1."/>
      <w:lvlJc w:val="start"/>
      <w:pPr>
        <w:tabs>
          <w:tab w:val="num" w:pos="360"/>
        </w:tabs>
        <w:ind w:start="360" w:hanging="360"/>
      </w:pPr>
    </w:lvl>
  </w:abstractNum>
  <w:abstractNum w:abstractNumId="8">
    <w:lvl w:ilvl="0">
      <w:start w:val="1"/>
      <w:numFmt w:val="upperLetter"/>
      <w:lvlText w:val="%1."/>
      <w:lvlJc w:val="start"/>
      <w:pPr>
        <w:tabs>
          <w:tab w:val="num" w:pos="720"/>
        </w:tabs>
        <w:ind w:start="720" w:hanging="720"/>
      </w:pPr>
      <w:rPr/>
    </w:lvl>
  </w:abstractNum>
  <w:abstractNum w:abstractNumId="9">
    <w:lvl w:ilvl="0">
      <w:start w:val="1"/>
      <w:numFmt w:val="decimal"/>
      <w:lvlText w:val="%1."/>
      <w:lvlJc w:val="start"/>
      <w:pPr>
        <w:tabs>
          <w:tab w:val="num" w:pos="360"/>
        </w:tabs>
        <w:ind w:start="0" w:hanging="0"/>
      </w:pPr>
    </w:lvl>
    <w:lvl w:ilvl="1">
      <w:start w:val="1"/>
      <w:numFmt w:val="upperLetter"/>
      <w:lvlText w:val="%2."/>
      <w:lvlJc w:val="start"/>
      <w:pPr>
        <w:tabs>
          <w:tab w:val="num" w:pos="360"/>
        </w:tabs>
        <w:ind w:start="0" w:hanging="0"/>
      </w:pPr>
      <w:rPr>
        <w:i w:val="false"/>
        <w:b/>
      </w:rPr>
    </w:lvl>
    <w:lvl w:ilvl="2">
      <w:start w:val="1"/>
      <w:numFmt w:val="lowerLetter"/>
      <w:lvlText w:val="(%3)"/>
      <w:lvlJc w:val="start"/>
      <w:pPr>
        <w:tabs>
          <w:tab w:val="num" w:pos="360"/>
        </w:tabs>
        <w:ind w:start="360" w:hanging="360"/>
      </w:pPr>
    </w:lvl>
    <w:lvl w:ilvl="3">
      <w:start w:val="1"/>
      <w:numFmt w:val="lowerRoman"/>
      <w:lvlText w:val="(%4)"/>
      <w:lvlJc w:val="start"/>
      <w:pPr>
        <w:tabs>
          <w:tab w:val="num" w:pos="1080"/>
        </w:tabs>
        <w:ind w:start="72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0">
    <w:lvl w:ilvl="0">
      <w:start w:val="1"/>
      <w:numFmt w:val="decimal"/>
      <w:lvlText w:val="%1."/>
      <w:lvlJc w:val="start"/>
      <w:pPr>
        <w:tabs>
          <w:tab w:val="num" w:pos="360"/>
        </w:tabs>
        <w:ind w:start="0" w:hanging="0"/>
      </w:pPr>
      <w:rPr>
        <w:sz w:val="20"/>
        <w:i w:val="false"/>
        <w:b w:val="fals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2"/>
        <w:numId w:val="1"/>
      </w:numPr>
      <w:outlineLvl w:val="2"/>
    </w:pPr>
    <w:rPr/>
  </w:style>
  <w:style w:type="paragraph" w:styleId="Heading4">
    <w:name w:val="heading 4"/>
    <w:basedOn w:val="Normal"/>
    <w:next w:val="Normal"/>
    <w:qFormat/>
    <w:pPr>
      <w:numPr>
        <w:ilvl w:val="0"/>
        <w:numId w:val="6"/>
      </w:numPr>
      <w:tabs>
        <w:tab w:val="clear" w:pos="720"/>
      </w:tabs>
      <w:spacing w:lineRule="auto" w:line="360" w:before="0" w:after="0"/>
      <w:ind w:hanging="720" w:start="2880" w:end="0"/>
      <w:outlineLvl w:val="3"/>
    </w:pPr>
    <w:rPr/>
  </w:style>
  <w:style w:type="paragraph" w:styleId="Heading5">
    <w:name w:val="heading 5"/>
    <w:basedOn w:val="Normal"/>
    <w:next w:val="Normal"/>
    <w:qFormat/>
    <w:pPr>
      <w:numPr>
        <w:ilvl w:val="4"/>
        <w:numId w:val="1"/>
      </w:numPr>
      <w:outlineLvl w:val="4"/>
    </w:pPr>
    <w:rPr/>
  </w:style>
  <w:style w:type="paragraph" w:styleId="Heading6">
    <w:name w:val="heading 6"/>
    <w:basedOn w:val="Normal"/>
    <w:next w:val="Normal"/>
    <w:qFormat/>
    <w:pPr>
      <w:numPr>
        <w:ilvl w:val="5"/>
        <w:numId w:val="1"/>
      </w:numPr>
      <w:outlineLvl w:val="5"/>
    </w:pPr>
    <w:rPr/>
  </w:style>
  <w:style w:type="paragraph" w:styleId="Heading7">
    <w:name w:val="heading 7"/>
    <w:basedOn w:val="Normal"/>
    <w:next w:val="Normal"/>
    <w:qFormat/>
    <w:pPr>
      <w:numPr>
        <w:ilvl w:val="6"/>
        <w:numId w:val="1"/>
      </w:numPr>
      <w:outlineLvl w:val="6"/>
    </w:pPr>
    <w:rPr/>
  </w:style>
  <w:style w:type="paragraph" w:styleId="Heading8">
    <w:name w:val="heading 8"/>
    <w:basedOn w:val="Normal"/>
    <w:next w:val="Normal"/>
    <w:qFormat/>
    <w:pPr>
      <w:numPr>
        <w:ilvl w:val="7"/>
        <w:numId w:val="1"/>
      </w:numPr>
      <w:outlineLvl w:val="7"/>
    </w:pPr>
    <w:rPr/>
  </w:style>
  <w:style w:type="paragraph" w:styleId="Heading9">
    <w:name w:val="heading 9"/>
    <w:basedOn w:val="Normal"/>
    <w:next w:val="Normal"/>
    <w:qFormat/>
    <w:pPr>
      <w:numPr>
        <w:ilvl w:val="8"/>
        <w:numId w:val="1"/>
      </w:numPr>
      <w:outlineLvl w:val="8"/>
    </w:pPr>
    <w:rPr/>
  </w:style>
  <w:style w:type="character" w:styleId="WW8Num6z0">
    <w:name w:val="WW8Num6z0"/>
    <w:qFormat/>
    <w:rPr/>
  </w:style>
  <w:style w:type="character" w:styleId="WW8Num7z0">
    <w:name w:val="WW8Num7z0"/>
    <w:qFormat/>
    <w:rPr/>
  </w:style>
  <w:style w:type="character" w:styleId="WW8Num9z0">
    <w:name w:val="WW8Num9z0"/>
    <w:qFormat/>
    <w:rPr/>
  </w:style>
  <w:style w:type="character" w:styleId="WW8Num10z0">
    <w:name w:val="WW8Num10z0"/>
    <w:qFormat/>
    <w:rPr>
      <w:b w:val="false"/>
      <w:i w:val="false"/>
      <w:sz w:val="20"/>
    </w:rPr>
  </w:style>
  <w:style w:type="character" w:styleId="WW8Num11z0">
    <w:name w:val="WW8Num11z0"/>
    <w:qFormat/>
    <w:rPr>
      <w:rFonts w:ascii="Times New Roman" w:hAnsi="Times New Roman" w:cs="Times New Roman"/>
      <w:b w:val="false"/>
      <w:i w:val="false"/>
      <w:sz w:val="14"/>
    </w:rPr>
  </w:style>
  <w:style w:type="character" w:styleId="WW8Num12z0">
    <w:name w:val="WW8Num12z0"/>
    <w:qFormat/>
    <w:rPr/>
  </w:style>
  <w:style w:type="character" w:styleId="WW8Num16z0">
    <w:name w:val="WW8Num16z0"/>
    <w:qFormat/>
    <w:rPr/>
  </w:style>
  <w:style w:type="character" w:styleId="WW8Num17z0">
    <w:name w:val="WW8Num17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3z1">
    <w:name w:val="WW8Num23z1"/>
    <w:qFormat/>
    <w:rPr>
      <w:b/>
      <w:i w:val="false"/>
    </w:rPr>
  </w:style>
  <w:style w:type="character" w:styleId="WW8Num24z0">
    <w:name w:val="WW8Num24z0"/>
    <w:qFormat/>
    <w:rPr>
      <w:b w:val="false"/>
      <w:i w:val="false"/>
      <w:sz w:val="20"/>
    </w:rPr>
  </w:style>
  <w:style w:type="character" w:styleId="WW8Num25z0">
    <w:name w:val="WW8Num25z0"/>
    <w:qFormat/>
    <w:rPr>
      <w:rFonts w:ascii="Times New Roman" w:hAnsi="Times New Roman" w:cs="Times New Roman"/>
      <w:b w:val="false"/>
      <w:i w:val="false"/>
      <w:sz w:val="24"/>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rPr>
  </w:style>
  <w:style w:type="paragraph" w:styleId="BodyText">
    <w:name w:val="Body Text"/>
    <w:basedOn w:val="Normal"/>
    <w:pPr/>
    <w:rPr/>
  </w:style>
  <w:style w:type="paragraph" w:styleId="List">
    <w:name w:val="List"/>
    <w:basedOn w:val="Normal"/>
    <w:pPr>
      <w:numPr>
        <w:ilvl w:val="0"/>
        <w:numId w:val="5"/>
      </w:numPr>
    </w:pPr>
    <w:rPr>
      <w:sz w:val="20"/>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Number5">
    <w:name w:val="List Number 5"/>
    <w:basedOn w:val="Normal"/>
    <w:qFormat/>
    <w:pPr>
      <w:numPr>
        <w:ilvl w:val="0"/>
        <w:numId w:val="2"/>
      </w:numPr>
    </w:pPr>
    <w:rPr/>
  </w:style>
  <w:style w:type="paragraph" w:styleId="DEYTemplateStyle">
    <w:name w:val="DEY Template Style"/>
    <w:next w:val="Normal"/>
    <w:qFormat/>
    <w:pPr>
      <w:widowControl/>
      <w:bidi w:val="0"/>
      <w:jc w:val="both"/>
    </w:pPr>
    <w:rPr>
      <w:rFonts w:ascii="Times New Roman" w:hAnsi="Times New Roman" w:eastAsia="Times New Roman" w:cs="Times New Roman"/>
      <w:color w:val="auto"/>
      <w:sz w:val="24"/>
      <w:szCs w:val="20"/>
      <w:lang w:val="en-US" w:eastAsia="en-CA" w:bidi="ar-SA"/>
    </w:rPr>
  </w:style>
  <w:style w:type="paragraph" w:styleId="CommentText">
    <w:name w:val="Comment Text"/>
    <w:basedOn w:val="Normal"/>
    <w:qFormat/>
    <w:pPr/>
    <w:rPr>
      <w:sz w:val="20"/>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72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pBdr>
        <w:top w:val="thinThickSmallGap" w:sz="18" w:space="1" w:color="000000"/>
        <w:left w:val="thinThickSmallGap" w:sz="18" w:space="4" w:color="000000"/>
        <w:bottom w:val="thickThinSmallGap" w:sz="18" w:space="1" w:color="000000"/>
        <w:right w:val="thickThinSmallGap" w:sz="18" w:space="4" w:color="000000"/>
      </w:pBdr>
    </w:pPr>
    <w:rPr>
      <w:b/>
    </w:rPr>
  </w:style>
  <w:style w:type="paragraph" w:styleId="BodyText3">
    <w:name w:val="Body Text 3"/>
    <w:basedOn w:val="Normal"/>
    <w:qFormat/>
    <w:pPr/>
    <w:rPr>
      <w:b/>
    </w:rPr>
  </w:style>
  <w:style w:type="paragraph" w:styleId="BodyTextIndent3">
    <w:name w:val="Body Text Indent 3"/>
    <w:basedOn w:val="Normal"/>
    <w:qFormat/>
    <w:pPr>
      <w:ind w:hanging="0" w:start="720" w:end="0"/>
    </w:pPr>
    <w:rPr>
      <w:b/>
    </w:rPr>
  </w:style>
  <w:style w:type="paragraph" w:styleId="DocID">
    <w:name w:val="DocID"/>
    <w:basedOn w:val="Normal"/>
    <w:qFormat/>
    <w:pPr>
      <w:suppressLineNumbers/>
      <w:spacing w:before="0" w:after="0"/>
      <w:jc w:val="start"/>
    </w:pPr>
    <w:rPr>
      <w:kern w:val="2"/>
      <w:sz w:val="16"/>
    </w:rPr>
  </w:style>
  <w:style w:type="paragraph" w:styleId="Style21">
    <w:name w:val="Style 2"/>
    <w:basedOn w:val="List"/>
    <w:qFormat/>
    <w:pPr>
      <w:numPr>
        <w:ilvl w:val="0"/>
        <w:numId w:val="9"/>
      </w:numPr>
      <w:spacing w:before="0" w:after="150"/>
    </w:pPr>
    <w:rPr>
      <w:sz w:val="14"/>
    </w:rPr>
  </w:style>
  <w:style w:type="paragraph" w:styleId="Style11">
    <w:name w:val="Style1"/>
    <w:basedOn w:val="Heading4"/>
    <w:qFormat/>
    <w:pPr>
      <w:numPr>
        <w:ilvl w:val="0"/>
        <w:numId w:val="7"/>
      </w:numPr>
      <w:tabs>
        <w:tab w:val="left" w:pos="720" w:leader="none"/>
      </w:tabs>
    </w:pPr>
    <w:rPr/>
  </w:style>
  <w:style w:type="paragraph" w:styleId="Index1">
    <w:name w:val="index 1"/>
    <w:basedOn w:val="Normal"/>
    <w:next w:val="Normal"/>
    <w:pPr>
      <w:numPr>
        <w:ilvl w:val="0"/>
        <w:numId w:val="10"/>
      </w:numPr>
      <w:tabs>
        <w:tab w:val="clear" w:pos="720"/>
      </w:tabs>
    </w:pPr>
    <w:rPr>
      <w:sz w:val="20"/>
    </w:rPr>
  </w:style>
  <w:style w:type="paragraph" w:styleId="ListBullet2">
    <w:name w:val="List Bullet 2"/>
    <w:basedOn w:val="Normal"/>
    <w:pPr>
      <w:numPr>
        <w:ilvl w:val="0"/>
        <w:numId w:val="4"/>
      </w:numPr>
    </w:pPr>
    <w:rPr>
      <w:sz w:val="20"/>
    </w:rPr>
  </w:style>
  <w:style w:type="paragraph" w:styleId="Style31">
    <w:name w:val="Style 3"/>
    <w:basedOn w:val="Normal"/>
    <w:qFormat/>
    <w:pPr>
      <w:keepNext w:val="true"/>
      <w:numPr>
        <w:ilvl w:val="0"/>
        <w:numId w:val="9"/>
      </w:numPr>
      <w:spacing w:before="0" w:after="150"/>
    </w:pPr>
    <w:rPr>
      <w:b/>
      <w:sz w:val="14"/>
    </w:rPr>
  </w:style>
  <w:style w:type="paragraph" w:styleId="Style41">
    <w:name w:val="Style 4"/>
    <w:basedOn w:val="Normal"/>
    <w:qFormat/>
    <w:pPr>
      <w:numPr>
        <w:ilvl w:val="0"/>
        <w:numId w:val="9"/>
      </w:numPr>
      <w:spacing w:before="0" w:after="150"/>
    </w:pPr>
    <w:rPr>
      <w:sz w:val="14"/>
    </w:rPr>
  </w:style>
  <w:style w:type="paragraph" w:styleId="Style5">
    <w:name w:val="Style 5"/>
    <w:basedOn w:val="Normal"/>
    <w:qFormat/>
    <w:pPr>
      <w:numPr>
        <w:ilvl w:val="0"/>
        <w:numId w:val="9"/>
      </w:numPr>
      <w:tabs>
        <w:tab w:val="left" w:pos="720" w:leader="none"/>
      </w:tabs>
      <w:spacing w:before="0" w:after="150"/>
    </w:pPr>
    <w:rPr>
      <w:sz w:val="14"/>
    </w:rPr>
  </w:style>
  <w:style w:type="paragraph" w:styleId="BlockText">
    <w:name w:val="Block Text"/>
    <w:basedOn w:val="Normal"/>
    <w:qFormat/>
    <w:pPr>
      <w:pBdr>
        <w:top w:val="single" w:sz="4" w:space="1" w:color="000000"/>
        <w:left w:val="single" w:sz="4" w:space="31" w:color="000000"/>
        <w:bottom w:val="single" w:sz="4" w:space="1" w:color="000000"/>
        <w:right w:val="single" w:sz="4" w:space="31" w:color="000000"/>
      </w:pBdr>
      <w:spacing w:before="0" w:after="120"/>
      <w:ind w:hanging="0" w:start="-360" w:end="-360"/>
    </w:pPr>
    <w:rPr>
      <w:b/>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2001-03-29T00:36:00Z</dcterms:created>
  <dc:creator>mahann</dc:creator>
  <dc:description/>
  <dc:language>en-CA</dc:language>
  <cp:lastModifiedBy>mark powell</cp:lastModifiedBy>
  <cp:lastPrinted>2001-03-28T19:57:00Z</cp:lastPrinted>
  <dcterms:modified xsi:type="dcterms:W3CDTF">2001-03-29T00:36:00Z</dcterms:modified>
  <cp:revision>2</cp:revision>
  <dc:subject/>
  <dc:title>INTERRUPTIBLE RETAIL ELECTRICITY SUPPLY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#129567 v4</vt:lpwstr>
  </property>
</Properties>
</file>