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  <w:b w:val="false"/>
          <w:sz w:val="20"/>
          <w:u w:val="none"/>
        </w:rPr>
      </w:pPr>
      <w:bookmarkStart w:id="0" w:name="_1011167196"/>
      <w:bookmarkEnd w:id="0"/>
      <w:r>
        <w:rPr>
          <w:rFonts w:cs="Times New Roman" w:ascii="Times New Roman" w:hAnsi="Times New Roman"/>
          <w:b w:val="false"/>
          <w:sz w:val="20"/>
          <w:u w:val="none"/>
        </w:rPr>
        <w:object w:dxaOrig="2988" w:dyaOrig="78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2.35pt;height:31.4pt" filled="f" o:ole="">
            <v:imagedata r:id="rId3" o:title=""/>
          </v:shape>
          <o:OLEObject Type="Embed" ProgID="" ShapeID="ole_rId2" DrawAspect="Content" ObjectID="_132933394" r:id="rId2"/>
        </w:object>
      </w:r>
    </w:p>
    <w:p>
      <w:pPr>
        <w:pStyle w:val="Heading"/>
        <w:rPr>
          <w:rFonts w:ascii="Times New Roman" w:hAnsi="Times New Roman" w:cs="Times New Roman"/>
          <w:b w:val="false"/>
          <w:sz w:val="20"/>
          <w:u w:val="none"/>
        </w:rPr>
      </w:pPr>
      <w:r>
        <w:rPr>
          <w:rFonts w:cs="Times New Roman" w:ascii="Times New Roman" w:hAnsi="Times New Roman"/>
          <w:b w:val="false"/>
          <w:sz w:val="20"/>
          <w:u w:val="none"/>
        </w:rPr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  <w:t>ROBERT A. MCMILLIN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u w:val="none"/>
        </w:rPr>
      </w:pPr>
      <w:r>
        <w:rPr>
          <w:rFonts w:cs="Bookman Old Style" w:ascii="Bookman Old Style" w:hAnsi="Bookman Old Style"/>
          <w:sz w:val="22"/>
          <w:u w:val="none"/>
        </w:rPr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PROFESSIONAL EXPERIENCE</w:t>
      </w:r>
    </w:p>
    <w:p>
      <w:pPr>
        <w:pStyle w:val="Normal"/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jc w:val="both"/>
        <w:rPr/>
      </w:pPr>
      <w:r>
        <w:rPr>
          <w:rFonts w:cs="Bookman Old Style" w:ascii="Bookman Old Style" w:hAnsi="Bookman Old Style"/>
          <w:b/>
          <w:sz w:val="22"/>
        </w:rPr>
        <w:t xml:space="preserve">Occidental Permian Ltd.             </w:t>
      </w:r>
      <w:r>
        <w:rPr>
          <w:rFonts w:cs="Bookman Old Style" w:ascii="Bookman Old Style" w:hAnsi="Bookman Old Style"/>
          <w:sz w:val="22"/>
        </w:rPr>
        <w:t>Houston &amp; Midland, Texas     March 2001 – Present</w:t>
      </w:r>
    </w:p>
    <w:p>
      <w:pPr>
        <w:pStyle w:val="Heading4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Contract Attorney</w:t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Transactional work and litigation support, reporting to Chief Counsel.</w:t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jc w:val="both"/>
        <w:rPr/>
      </w:pPr>
      <w:r>
        <w:rPr>
          <w:rFonts w:cs="Bookman Old Style" w:ascii="Bookman Old Style" w:hAnsi="Bookman Old Style"/>
          <w:b/>
          <w:sz w:val="22"/>
        </w:rPr>
        <w:t xml:space="preserve">ATOFINA Petrochemicals, Inc.    </w:t>
      </w:r>
      <w:r>
        <w:rPr>
          <w:rFonts w:cs="Bookman Old Style" w:ascii="Bookman Old Style" w:hAnsi="Bookman Old Style"/>
          <w:sz w:val="22"/>
        </w:rPr>
        <w:t>Houston, Texas    September 2000 – February 2001</w:t>
      </w:r>
    </w:p>
    <w:p>
      <w:pPr>
        <w:pStyle w:val="Heading4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Contract Attorney</w:t>
      </w:r>
    </w:p>
    <w:p>
      <w:pPr>
        <w:pStyle w:val="BodyText3"/>
        <w:ind w:end="0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Transactional work, reporting to Senior Attorney.</w:t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/>
      </w:pPr>
      <w:r>
        <w:rPr>
          <w:rFonts w:cs="Bookman Old Style" w:ascii="Bookman Old Style" w:hAnsi="Bookman Old Style"/>
          <w:b/>
          <w:sz w:val="22"/>
        </w:rPr>
        <w:t>North Central Oil Corporation</w:t>
      </w:r>
      <w:r>
        <w:rPr>
          <w:rFonts w:cs="Bookman Old Style" w:ascii="Bookman Old Style" w:hAnsi="Bookman Old Style"/>
          <w:sz w:val="22"/>
        </w:rPr>
        <w:t xml:space="preserve">     Houston, Texas         March 1992 ~ December 1999</w:t>
      </w:r>
    </w:p>
    <w:p>
      <w:pPr>
        <w:pStyle w:val="Normal"/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b/>
          <w:sz w:val="22"/>
        </w:rPr>
      </w:pPr>
      <w:r>
        <w:rPr>
          <w:rFonts w:cs="Bookman Old Style" w:ascii="Bookman Old Style" w:hAnsi="Bookman Old Style"/>
          <w:b/>
          <w:sz w:val="22"/>
        </w:rPr>
        <w:t>Vice President ~ Legal</w:t>
      </w:r>
    </w:p>
    <w:p>
      <w:pPr>
        <w:pStyle w:val="Normal"/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Responsible for all legal aspects of the Corporation and its subsidiaries, including: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Manage litigation asserting corporate rights and recovering corporate claims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Environmental regulation and litigation management, including Superfund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Employment law compliance and litigation management, including EEOC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Insurance coverage and personal injury litigation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Manage royalty litigation, including Minerals Management Service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Manage property law litigation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Manage bankruptcy litigation, as creditor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Corporate governance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7020" w:leader="none"/>
        </w:tabs>
        <w:spacing w:lineRule="auto" w:line="228"/>
        <w:ind w:hanging="342" w:start="630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Draft, negotiate, and manage multifaceted and complex transactional agreements, including, but not limited to: Joint Operating Agreements, as Operator and Non-Operator, for both onshore and offshore OCS properties; Oil, Gas and Mineral Leases; Farm-Ins and Farm-outs; Purchase and Sale Agreements; Assignments; Gas Marketing, Gathering, Processing, and Transportation Agree</w:t>
        <w:softHyphen/>
        <w:t>ments; Crude Oil Marketing Agreements; Master Drill</w:t>
        <w:softHyphen/>
        <w:t>ing Agreements; Master Service Agreements; 3-D Seismic Acquisition and License Agreements; Software Licenses; Confiden</w:t>
        <w:softHyphen/>
        <w:t>tial</w:t>
        <w:softHyphen/>
        <w:t>ity Agreements; Consulting Contracts; $175 Million Revolving Credit Facility Agreement; and Hedging Transaction Agreements</w:t>
      </w:r>
    </w:p>
    <w:p>
      <w:pPr>
        <w:pStyle w:val="Normal"/>
        <w:tabs>
          <w:tab w:val="clear" w:pos="720"/>
          <w:tab w:val="left" w:pos="7020" w:leader="none"/>
        </w:tabs>
        <w:spacing w:lineRule="auto" w:line="228"/>
        <w:ind w:start="288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20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Highlights: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810" w:leader="none"/>
        </w:tabs>
        <w:ind w:hanging="288" w:start="630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 xml:space="preserve">Concluded favorable decisions or </w:t>
      </w:r>
      <w:r>
        <w:rPr>
          <w:rFonts w:cs="Bookman Old Style" w:ascii="Bookman Old Style" w:hAnsi="Bookman Old Style"/>
          <w:i/>
          <w:sz w:val="22"/>
        </w:rPr>
        <w:t xml:space="preserve">de minimis </w:t>
      </w:r>
      <w:r>
        <w:rPr>
          <w:rFonts w:cs="Bookman Old Style" w:ascii="Bookman Old Style" w:hAnsi="Bookman Old Style"/>
          <w:sz w:val="22"/>
        </w:rPr>
        <w:t>settlements in over sixty lawsuits</w:t>
      </w:r>
    </w:p>
    <w:p>
      <w:pPr>
        <w:pStyle w:val="Normal"/>
        <w:numPr>
          <w:ilvl w:val="0"/>
          <w:numId w:val="5"/>
        </w:numPr>
        <w:ind w:hanging="432" w:start="702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Reduced legal fees by 50% during tenure at the Corporation</w:t>
      </w:r>
    </w:p>
    <w:p>
      <w:pPr>
        <w:pStyle w:val="Normal"/>
        <w:numPr>
          <w:ilvl w:val="0"/>
          <w:numId w:val="5"/>
        </w:numPr>
        <w:ind w:hanging="288" w:start="630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 xml:space="preserve">Negotiated producing property acquisitions exceeding $180 million, with companies such as Chevron, Conoco, Great Western, Petro-Hunt, St. Mary Land &amp; Exploration, Sanchez-O’Brien Oil &amp; Gas, Texaco, TransTexas, and Zachry Exploration, resulting in substantial Company growth                                        </w:t>
      </w:r>
    </w:p>
    <w:p>
      <w:pPr>
        <w:pStyle w:val="Normal"/>
        <w:tabs>
          <w:tab w:val="clear" w:pos="720"/>
          <w:tab w:val="left" w:pos="81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20"/>
          <w:tab w:val="left" w:pos="81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North Central Oil Corporation, a privately-held oil and gas exploration and production operating company, was marketed for sale since the first quarter of 2000, and announced a buyer later that year; the sale closed in March 2001.</w:t>
      </w:r>
    </w:p>
    <w:p>
      <w:pPr>
        <w:pStyle w:val="Normal"/>
        <w:tabs>
          <w:tab w:val="clear" w:pos="720"/>
          <w:tab w:val="left" w:pos="81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/>
      </w:pPr>
      <w:r>
        <w:rPr>
          <w:rFonts w:cs="Bookman Old Style" w:ascii="Bookman Old Style" w:hAnsi="Bookman Old Style"/>
          <w:b/>
          <w:sz w:val="22"/>
        </w:rPr>
        <w:t>Baker &amp; Botts, L.L.P.</w:t>
      </w:r>
      <w:r>
        <w:rPr>
          <w:rFonts w:cs="Bookman Old Style" w:ascii="Bookman Old Style" w:hAnsi="Bookman Old Style"/>
          <w:sz w:val="22"/>
        </w:rPr>
        <w:t xml:space="preserve">                   Houston, Texas                  May 1985 ~ March 1992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4320" w:leader="none"/>
          <w:tab w:val="left" w:pos="7020" w:leader="none"/>
        </w:tabs>
        <w:spacing w:lineRule="auto" w:line="228"/>
        <w:ind w:hanging="342" w:start="630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Represented natural gas producers, gatherers, marketers, pipelines, distributors, and end-users regarding state and federal regulatory matters, litigation, and contract formulation and interpretation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4320" w:leader="none"/>
          <w:tab w:val="left" w:pos="7020" w:leader="none"/>
        </w:tabs>
        <w:spacing w:lineRule="auto" w:line="228"/>
        <w:ind w:hanging="342" w:start="630" w:end="0"/>
        <w:jc w:val="both"/>
        <w:rPr>
          <w:rFonts w:ascii="Bookman Old Style" w:hAnsi="Bookman Old Style" w:cs="Bookman Old Style"/>
          <w:sz w:val="22"/>
        </w:rPr>
      </w:pPr>
      <w:r>
        <w:rPr>
          <w:rFonts w:eastAsia="Bookman Old Style" w:cs="Bookman Old Style" w:ascii="Bookman Old Style" w:hAnsi="Bookman Old Style"/>
          <w:sz w:val="22"/>
        </w:rPr>
        <w:t xml:space="preserve"> </w:t>
      </w:r>
      <w:r>
        <w:rPr>
          <w:rFonts w:cs="Bookman Old Style" w:ascii="Bookman Old Style" w:hAnsi="Bookman Old Style"/>
          <w:sz w:val="22"/>
        </w:rPr>
        <w:t>Advised clients on regulatory aspects of electric and natural gas utilities, property transfers, and crude oil and petroleum products pipelines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4320" w:leader="none"/>
          <w:tab w:val="left" w:pos="7020" w:leader="none"/>
        </w:tabs>
        <w:spacing w:lineRule="auto" w:line="228"/>
        <w:ind w:hanging="342" w:start="630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 xml:space="preserve">Administrative, trial, and appellate representation of energy clients before the Federal Energy Regulatory Commission, the United States Minerals Management Service, various federal appellate courts, state courts, and state regulatory agencies </w:t>
      </w:r>
    </w:p>
    <w:p>
      <w:pPr>
        <w:pStyle w:val="Normal"/>
        <w:tabs>
          <w:tab w:val="clear" w:pos="720"/>
          <w:tab w:val="left" w:pos="3150" w:leader="none"/>
          <w:tab w:val="left" w:pos="7020" w:leader="none"/>
        </w:tabs>
        <w:spacing w:lineRule="auto" w:line="228"/>
        <w:jc w:val="center"/>
        <w:rPr>
          <w:rFonts w:ascii="Bookman Old Style" w:hAnsi="Bookman Old Style" w:cs="Bookman Old Style"/>
          <w:b/>
          <w:sz w:val="22"/>
        </w:rPr>
      </w:pPr>
      <w:r>
        <w:rPr>
          <w:rFonts w:cs="Bookman Old Style" w:ascii="Bookman Old Style" w:hAnsi="Bookman Old Style"/>
          <w:b/>
          <w:sz w:val="22"/>
        </w:rPr>
      </w:r>
    </w:p>
    <w:p>
      <w:pPr>
        <w:pStyle w:val="Heading2"/>
        <w:tabs>
          <w:tab w:val="clear" w:pos="720"/>
          <w:tab w:val="left" w:pos="3150" w:leader="none"/>
        </w:tabs>
        <w:ind w:hanging="0" w:start="0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PROFESSIONAL ORGANIZATIONS</w:t>
      </w:r>
    </w:p>
    <w:p>
      <w:pPr>
        <w:pStyle w:val="Normal"/>
        <w:tabs>
          <w:tab w:val="clear" w:pos="720"/>
          <w:tab w:val="left" w:pos="3150" w:leader="none"/>
          <w:tab w:val="left" w:pos="7020" w:leader="none"/>
        </w:tabs>
        <w:spacing w:lineRule="auto" w:line="228"/>
        <w:jc w:val="center"/>
        <w:rPr>
          <w:rFonts w:ascii="Bookman Old Style" w:hAnsi="Bookman Old Style" w:cs="Bookman Old Style"/>
          <w:b/>
          <w:sz w:val="22"/>
        </w:rPr>
      </w:pPr>
      <w:r>
        <w:rPr>
          <w:rFonts w:cs="Bookman Old Style" w:ascii="Bookman Old Style" w:hAnsi="Bookman Old Style"/>
          <w:b/>
          <w:sz w:val="22"/>
        </w:rPr>
      </w:r>
    </w:p>
    <w:p>
      <w:pPr>
        <w:pStyle w:val="BodyText2"/>
        <w:ind w:end="0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The State Bar of Texas; formerly a member of Independent Petroleum Association of America; Independent Petroleum Association of Mountain States; Texas Independent Producers and Royalty Owners Association; Louisiana Independent Oil &amp; Gas Association; Federal Energy Bar Association</w:t>
      </w:r>
    </w:p>
    <w:p>
      <w:pPr>
        <w:pStyle w:val="Normal"/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Heading2"/>
        <w:ind w:hanging="0" w:start="0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EDUCATION</w:t>
      </w:r>
    </w:p>
    <w:p>
      <w:pPr>
        <w:pStyle w:val="Normal"/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20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J. D., University of Houston Law School, Houston, Texas ~ 1985</w:t>
      </w:r>
    </w:p>
    <w:p>
      <w:pPr>
        <w:pStyle w:val="Normal"/>
        <w:tabs>
          <w:tab w:val="clear" w:pos="720"/>
          <w:tab w:val="left" w:pos="99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Honors:</w:t>
        <w:tab/>
        <w:t>Houston Law Review, Research Editor</w:t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ind w:start="1008" w:end="0"/>
        <w:jc w:val="both"/>
        <w:rPr/>
      </w:pPr>
      <w:r>
        <w:rPr>
          <w:rFonts w:cs="Bookman Old Style" w:ascii="Bookman Old Style" w:hAnsi="Bookman Old Style"/>
          <w:sz w:val="22"/>
        </w:rPr>
        <w:t xml:space="preserve">Casenote on </w:t>
      </w:r>
      <w:r>
        <w:rPr>
          <w:rFonts w:cs="Bookman Old Style" w:ascii="Bookman Old Style" w:hAnsi="Bookman Old Style"/>
          <w:i/>
          <w:sz w:val="22"/>
        </w:rPr>
        <w:t>Duncan v. Cessna</w:t>
      </w:r>
      <w:r>
        <w:rPr>
          <w:rFonts w:cs="Bookman Old Style" w:ascii="Bookman Old Style" w:hAnsi="Bookman Old Style"/>
          <w:sz w:val="22"/>
        </w:rPr>
        <w:t xml:space="preserve"> published in 21 Houston Law Review 279 (1984)</w:t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ind w:start="1008" w:end="0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Texas Trial Lawyers Association Award, Best Casenote or Comment on Workers’ Compensation/Torts (1984)</w:t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BA in History, Southern Methodist University, Dallas, Texas ~ 1975</w:t>
      </w:r>
    </w:p>
    <w:p>
      <w:pPr>
        <w:pStyle w:val="Normal"/>
        <w:tabs>
          <w:tab w:val="clear" w:pos="720"/>
          <w:tab w:val="left" w:pos="1080" w:leader="none"/>
          <w:tab w:val="left" w:pos="4320" w:leader="none"/>
          <w:tab w:val="left" w:pos="7020" w:leader="none"/>
        </w:tabs>
        <w:spacing w:lineRule="auto" w:line="228"/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Heading"/>
        <w:rPr>
          <w:rFonts w:ascii="Bookman Old Style" w:hAnsi="Bookman Old Style" w:cs="Bookman Old Style"/>
          <w:b w:val="false"/>
          <w:sz w:val="20"/>
          <w:u w:val="none"/>
        </w:rPr>
      </w:pPr>
      <w:r>
        <w:rPr>
          <w:rFonts w:cs="Bookman Old Style" w:ascii="Bookman Old Style" w:hAnsi="Bookman Old Style"/>
          <w:b w:val="false"/>
          <w:sz w:val="20"/>
          <w:u w:val="none"/>
        </w:rPr>
      </w:r>
    </w:p>
    <w:p>
      <w:pPr>
        <w:pStyle w:val="Normal"/>
        <w:tabs>
          <w:tab w:val="clear" w:pos="720"/>
          <w:tab w:val="center" w:pos="2790" w:leader="none"/>
        </w:tabs>
        <w:suppressAutoHyphens w:val="true"/>
        <w:ind w:start="-720" w:end="0"/>
        <w:rPr>
          <w:rFonts w:ascii="Bookman Old Style" w:hAnsi="Bookman Old Style" w:cs="Bookman Old Style"/>
          <w:b/>
          <w:color w:val="000000"/>
          <w:sz w:val="20"/>
          <w:u w:val="none"/>
        </w:rPr>
      </w:pPr>
      <w:r>
        <w:rPr>
          <w:rFonts w:cs="Bookman Old Style" w:ascii="Bookman Old Style" w:hAnsi="Bookman Old Style"/>
          <w:b/>
          <w:color w:val="000000"/>
          <w:sz w:val="20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680" w:leader="none"/>
        </w:tabs>
        <w:suppressAutoHyphens w:val="true"/>
        <w:outlineLvl w:val="0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</w:rPr>
        <w:tab/>
      </w:r>
    </w:p>
    <w:p>
      <w:pPr>
        <w:pStyle w:val="Heading"/>
        <w:rPr>
          <w:rFonts w:ascii="Bookman Old Style" w:hAnsi="Bookman Old Style" w:cs="Bookman Old Style"/>
          <w:b w:val="false"/>
          <w:sz w:val="22"/>
          <w:u w:val="none"/>
        </w:rPr>
      </w:pPr>
      <w:r>
        <w:rPr>
          <w:rFonts w:cs="Bookman Old Style" w:ascii="Bookman Old Style" w:hAnsi="Bookman Old Style"/>
          <w:b w:val="false"/>
          <w:sz w:val="22"/>
          <w:u w:val="none"/>
        </w:rPr>
      </w:r>
    </w:p>
    <w:sectPr>
      <w:type w:val="nextPage"/>
      <w:pgSz w:w="12240" w:h="15840"/>
      <w:pgMar w:left="1440" w:right="1440" w:gutter="0" w:header="0" w:top="432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  <w:font w:name="Arial Unicode MS">
    <w:charset w:val="80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648"/>
        </w:tabs>
        <w:ind w:start="576" w:hanging="288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648"/>
        </w:tabs>
        <w:ind w:start="576" w:hanging="288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648"/>
        </w:tabs>
        <w:ind w:start="576" w:hanging="288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648"/>
        </w:tabs>
        <w:ind w:start="576" w:hanging="288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2160" w:start="2160" w:end="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ook Antiqua" w:hAnsi="Book Antiqua" w:cs="Book Antiqua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i/>
      <w:smallCaps/>
      <w:emboss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i/>
      <w:sz w:val="20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i/>
      <w:color w:val="808080"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i/>
      <w:sz w:val="20"/>
      <w:lang w:eastAsia="en-US"/>
    </w:rPr>
  </w:style>
  <w:style w:type="character" w:styleId="WW8Num1z0">
    <w:name w:val="WW8Num1z0"/>
    <w:qFormat/>
    <w:rPr>
      <w:rFonts w:ascii="Wingdings" w:hAnsi="Wingdings" w:cs="Wingdings"/>
      <w:color w:val="auto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color w:val="auto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  <w:color w:val="auto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sz w:val="16"/>
    </w:rPr>
  </w:style>
  <w:style w:type="character" w:styleId="WW8Num15z0">
    <w:name w:val="WW8Num15z0"/>
    <w:qFormat/>
    <w:rPr>
      <w:rFonts w:ascii="Wingdings" w:hAnsi="Wingdings" w:cs="Wingdings"/>
      <w:color w:val="auto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color w:val="auto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20z0">
    <w:name w:val="WW8Num20z0"/>
    <w:qFormat/>
    <w:rPr>
      <w:rFonts w:ascii="Wingdings" w:hAnsi="Wingdings" w:cs="Wingdings"/>
      <w:color w:val="auto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  <w:color w:val="auto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aramond" w:hAnsi="Garamond" w:cs="Garamond"/>
      <w:b/>
      <w:sz w:val="28"/>
      <w:szCs w:val="20"/>
      <w:u w:val="single"/>
    </w:rPr>
  </w:style>
  <w:style w:type="paragraph" w:styleId="BodyText">
    <w:name w:val="Body Text"/>
    <w:basedOn w:val="Normal"/>
    <w:pPr/>
    <w:rPr>
      <w:b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Garamond" w:hAnsi="Garamond" w:cs="Garamond"/>
      <w:b/>
      <w:szCs w:val="20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Garamond"/>
      <w:sz w:val="20"/>
      <w:szCs w:val="20"/>
    </w:rPr>
  </w:style>
  <w:style w:type="paragraph" w:styleId="BodyTextIndent">
    <w:name w:val="Body Text Indent"/>
    <w:basedOn w:val="Normal"/>
    <w:pPr>
      <w:jc w:val="center"/>
    </w:pPr>
    <w:rPr>
      <w:rFonts w:ascii="Arial" w:hAnsi="Arial" w:cs="Arial"/>
      <w:sz w:val="20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lang w:eastAsia="en-US"/>
    </w:rPr>
  </w:style>
  <w:style w:type="paragraph" w:styleId="FootnoteText">
    <w:name w:val="footnote text"/>
    <w:basedOn w:val="Normal"/>
    <w:pPr/>
    <w:rPr>
      <w:sz w:val="20"/>
    </w:rPr>
  </w:style>
  <w:style w:type="paragraph" w:styleId="BlockText">
    <w:name w:val="Block Text"/>
    <w:basedOn w:val="Normal"/>
    <w:qFormat/>
    <w:pPr>
      <w:tabs>
        <w:tab w:val="left" w:pos="-720" w:leader="none"/>
        <w:tab w:val="left" w:pos="0" w:leader="none"/>
        <w:tab w:val="left" w:pos="720" w:leader="none"/>
        <w:tab w:val="left" w:pos="1440" w:leader="none"/>
      </w:tabs>
      <w:suppressAutoHyphens w:val="true"/>
      <w:ind w:hanging="2160" w:start="2160" w:end="-900"/>
    </w:pPr>
    <w:rPr>
      <w:sz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-720" w:leader="none"/>
      </w:tabs>
      <w:suppressAutoHyphens w:val="true"/>
      <w:ind w:hanging="0" w:start="0" w:end="-1080"/>
    </w:pPr>
    <w:rPr>
      <w:sz w:val="20"/>
    </w:rPr>
  </w:style>
  <w:style w:type="paragraph" w:styleId="BodyText3">
    <w:name w:val="Body Text 3"/>
    <w:basedOn w:val="Normal"/>
    <w:qFormat/>
    <w:pPr>
      <w:tabs>
        <w:tab w:val="clear" w:pos="720"/>
        <w:tab w:val="left" w:pos="-720" w:leader="none"/>
      </w:tabs>
      <w:suppressAutoHyphens w:val="true"/>
      <w:ind w:hanging="0" w:start="0" w:end="-720"/>
      <w:jc w:val="both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2001-10-25T12:53:00Z</dcterms:created>
  <dc:creator>MRRuiz</dc:creator>
  <dc:description/>
  <dc:language>en-CA</dc:language>
  <cp:lastModifiedBy>Terri Stine</cp:lastModifiedBy>
  <cp:lastPrinted>2001-10-25T10:23:00Z</cp:lastPrinted>
  <dcterms:modified xsi:type="dcterms:W3CDTF">2001-10-25T12:53:00Z</dcterms:modified>
  <cp:revision>2</cp:revision>
  <dc:subject/>
  <dc:title>JEREMIAH JAMES TAKAHATA</dc:title>
</cp:coreProperties>
</file>