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color w:val="000080"/>
        </w:rPr>
      </w:pPr>
      <w:r>
        <w:rPr>
          <w:color w:val="000080"/>
        </w:rPr>
        <w:t>Kevin Scott</w:t>
      </w:r>
    </w:p>
    <w:p>
      <w:pPr>
        <w:pStyle w:val="Normal"/>
        <w:rPr>
          <w:color w:val="000080"/>
        </w:rPr>
      </w:pPr>
      <w:r>
        <w:rPr>
          <w:color w:val="000080"/>
        </w:rPr>
      </w:r>
    </w:p>
    <w:tbl>
      <w:tblPr>
        <w:tblW w:w="10620" w:type="dxa"/>
        <w:jc w:val="center"/>
        <w:tblInd w:w="0" w:type="dxa"/>
        <w:tblLayout w:type="fixed"/>
        <w:tblCellMar>
          <w:top w:w="0" w:type="dxa"/>
          <w:start w:w="108" w:type="dxa"/>
          <w:bottom w:w="0" w:type="dxa"/>
          <w:end w:w="108" w:type="dxa"/>
        </w:tblCellMar>
      </w:tblPr>
      <w:tblGrid>
        <w:gridCol w:w="1620"/>
        <w:gridCol w:w="3780"/>
        <w:gridCol w:w="2160"/>
        <w:gridCol w:w="540"/>
        <w:gridCol w:w="2520"/>
      </w:tblGrid>
      <w:tr>
        <w:trPr/>
        <w:tc>
          <w:tcPr>
            <w:tcW w:w="5400" w:type="dxa"/>
            <w:gridSpan w:val="2"/>
            <w:tcBorders/>
          </w:tcPr>
          <w:p>
            <w:pPr>
              <w:pStyle w:val="Normal"/>
              <w:rPr>
                <w:color w:val="000000"/>
                <w:sz w:val="22"/>
              </w:rPr>
            </w:pPr>
            <w:r>
              <w:rPr>
                <w:color w:val="000000"/>
                <w:sz w:val="22"/>
              </w:rPr>
              <w:t>PO Box 21074</w:t>
            </w:r>
          </w:p>
        </w:tc>
        <w:tc>
          <w:tcPr>
            <w:tcW w:w="5220" w:type="dxa"/>
            <w:gridSpan w:val="3"/>
            <w:tcBorders/>
          </w:tcPr>
          <w:p>
            <w:pPr>
              <w:pStyle w:val="Normal"/>
              <w:jc w:val="end"/>
              <w:rPr>
                <w:sz w:val="22"/>
              </w:rPr>
            </w:pPr>
            <w:r>
              <w:rPr>
                <w:sz w:val="22"/>
              </w:rPr>
              <w:t>(213) 926-2626</w:t>
            </w:r>
          </w:p>
        </w:tc>
      </w:tr>
      <w:tr>
        <w:trPr/>
        <w:tc>
          <w:tcPr>
            <w:tcW w:w="5400" w:type="dxa"/>
            <w:gridSpan w:val="2"/>
            <w:tcBorders/>
          </w:tcPr>
          <w:p>
            <w:pPr>
              <w:pStyle w:val="Normal"/>
              <w:spacing w:before="0" w:after="120"/>
              <w:rPr>
                <w:color w:val="000000"/>
                <w:sz w:val="22"/>
              </w:rPr>
            </w:pPr>
            <w:r>
              <w:rPr>
                <w:color w:val="000000"/>
                <w:sz w:val="22"/>
              </w:rPr>
              <w:t>Los Angeles, CA  90021</w:t>
            </w:r>
          </w:p>
        </w:tc>
        <w:tc>
          <w:tcPr>
            <w:tcW w:w="5220" w:type="dxa"/>
            <w:gridSpan w:val="3"/>
            <w:tcBorders/>
          </w:tcPr>
          <w:p>
            <w:pPr>
              <w:pStyle w:val="Normal"/>
              <w:spacing w:before="0" w:after="120"/>
              <w:jc w:val="end"/>
              <w:rPr>
                <w:sz w:val="22"/>
              </w:rPr>
            </w:pPr>
            <w:r>
              <w:rPr>
                <w:sz w:val="22"/>
              </w:rPr>
              <w:t>kevinscott@onlinemailbox.net</w:t>
            </w:r>
          </w:p>
        </w:tc>
      </w:tr>
      <w:tr>
        <w:trPr/>
        <w:tc>
          <w:tcPr>
            <w:tcW w:w="5400" w:type="dxa"/>
            <w:gridSpan w:val="2"/>
            <w:tcBorders>
              <w:bottom w:val="single" w:sz="8" w:space="0" w:color="000000"/>
            </w:tcBorders>
          </w:tcPr>
          <w:p>
            <w:pPr>
              <w:pStyle w:val="Normal"/>
              <w:snapToGrid w:val="false"/>
              <w:spacing w:lineRule="exact" w:line="120"/>
              <w:rPr>
                <w:color w:val="000000"/>
                <w:sz w:val="22"/>
              </w:rPr>
            </w:pPr>
            <w:r>
              <w:rPr>
                <w:color w:val="000000"/>
                <w:sz w:val="22"/>
              </w:rPr>
            </w:r>
          </w:p>
        </w:tc>
        <w:tc>
          <w:tcPr>
            <w:tcW w:w="5220" w:type="dxa"/>
            <w:gridSpan w:val="3"/>
            <w:tcBorders>
              <w:bottom w:val="single" w:sz="8" w:space="0" w:color="000000"/>
            </w:tcBorders>
          </w:tcPr>
          <w:p>
            <w:pPr>
              <w:pStyle w:val="Normal"/>
              <w:snapToGrid w:val="false"/>
              <w:spacing w:lineRule="exact" w:line="120"/>
              <w:jc w:val="end"/>
              <w:rPr>
                <w:color w:val="000000"/>
                <w:sz w:val="22"/>
              </w:rPr>
            </w:pPr>
            <w:r>
              <w:rPr>
                <w:color w:val="000000"/>
                <w:sz w:val="22"/>
              </w:rPr>
            </w:r>
          </w:p>
        </w:tc>
      </w:tr>
      <w:tr>
        <w:trPr/>
        <w:tc>
          <w:tcPr>
            <w:tcW w:w="1620" w:type="dxa"/>
            <w:tcBorders>
              <w:top w:val="single" w:sz="8" w:space="0" w:color="000000"/>
            </w:tcBorders>
          </w:tcPr>
          <w:p>
            <w:pPr>
              <w:pStyle w:val="Heading2"/>
              <w:spacing w:before="120" w:after="60"/>
              <w:ind w:hanging="0" w:start="0"/>
              <w:rPr>
                <w:smallCaps/>
                <w:color w:val="000080"/>
              </w:rPr>
            </w:pPr>
            <w:r>
              <w:rPr>
                <w:smallCaps/>
                <w:color w:val="000080"/>
              </w:rPr>
              <w:t>Experience</w:t>
            </w:r>
          </w:p>
        </w:tc>
        <w:tc>
          <w:tcPr>
            <w:tcW w:w="6480" w:type="dxa"/>
            <w:gridSpan w:val="3"/>
            <w:tcBorders>
              <w:top w:val="single" w:sz="8" w:space="0" w:color="000000"/>
            </w:tcBorders>
          </w:tcPr>
          <w:p>
            <w:pPr>
              <w:pStyle w:val="Normal"/>
              <w:snapToGrid w:val="false"/>
              <w:spacing w:before="120" w:after="0"/>
              <w:rPr>
                <w:smallCaps/>
                <w:color w:val="000000"/>
                <w:sz w:val="22"/>
              </w:rPr>
            </w:pPr>
            <w:r>
              <w:rPr>
                <w:smallCaps/>
                <w:color w:val="000000"/>
                <w:sz w:val="22"/>
              </w:rPr>
            </w:r>
          </w:p>
        </w:tc>
        <w:tc>
          <w:tcPr>
            <w:tcW w:w="2520" w:type="dxa"/>
            <w:tcBorders>
              <w:top w:val="single" w:sz="8" w:space="0" w:color="000000"/>
            </w:tcBorders>
          </w:tcPr>
          <w:p>
            <w:pPr>
              <w:pStyle w:val="Normal"/>
              <w:snapToGrid w:val="false"/>
              <w:spacing w:before="120" w:after="0"/>
              <w:rPr>
                <w:color w:val="000000"/>
                <w:sz w:val="22"/>
              </w:rPr>
            </w:pPr>
            <w:r>
              <w:rPr>
                <w:color w:val="000000"/>
                <w:sz w:val="22"/>
              </w:rPr>
            </w:r>
          </w:p>
        </w:tc>
      </w:tr>
      <w:tr>
        <w:trPr/>
        <w:tc>
          <w:tcPr>
            <w:tcW w:w="1620" w:type="dxa"/>
            <w:tcBorders/>
          </w:tcPr>
          <w:p>
            <w:pPr>
              <w:pStyle w:val="Normal"/>
              <w:spacing w:before="120" w:after="120"/>
              <w:rPr>
                <w:color w:val="000000"/>
                <w:sz w:val="20"/>
              </w:rPr>
            </w:pPr>
            <w:r>
              <w:rPr>
                <w:color w:val="000000"/>
                <w:sz w:val="20"/>
              </w:rPr>
              <w:t xml:space="preserve">1995 </w:t>
            </w:r>
            <w:r>
              <w:rPr>
                <w:color w:val="000000"/>
                <w:sz w:val="19"/>
              </w:rPr>
              <w:t>to</w:t>
            </w:r>
            <w:r>
              <w:rPr>
                <w:color w:val="000000"/>
                <w:sz w:val="20"/>
              </w:rPr>
              <w:t xml:space="preserve"> </w:t>
            </w:r>
            <w:r>
              <w:rPr>
                <w:color w:val="000000"/>
                <w:sz w:val="19"/>
              </w:rPr>
              <w:t>Present</w:t>
            </w:r>
          </w:p>
        </w:tc>
        <w:tc>
          <w:tcPr>
            <w:tcW w:w="6480" w:type="dxa"/>
            <w:gridSpan w:val="3"/>
            <w:tcBorders/>
          </w:tcPr>
          <w:p>
            <w:pPr>
              <w:pStyle w:val="Normal"/>
              <w:spacing w:before="120" w:after="120"/>
              <w:rPr>
                <w:color w:val="000080"/>
              </w:rPr>
            </w:pPr>
            <w:r>
              <w:rPr>
                <w:b/>
                <w:smallCaps/>
                <w:color w:val="000080"/>
              </w:rPr>
              <w:t xml:space="preserve">SolutionScope,  </w:t>
            </w:r>
            <w:r>
              <w:rPr>
                <w:bCs/>
                <w:color w:val="000080"/>
                <w:sz w:val="22"/>
              </w:rPr>
              <w:t>Advisor</w:t>
            </w:r>
          </w:p>
        </w:tc>
        <w:tc>
          <w:tcPr>
            <w:tcW w:w="2520" w:type="dxa"/>
            <w:tcBorders/>
          </w:tcPr>
          <w:p>
            <w:pPr>
              <w:pStyle w:val="Normal"/>
              <w:spacing w:before="120" w:after="120"/>
              <w:jc w:val="end"/>
              <w:rPr>
                <w:b/>
                <w:smallCaps/>
                <w:sz w:val="20"/>
              </w:rPr>
            </w:pPr>
            <w:r>
              <w:rPr>
                <w:sz w:val="20"/>
              </w:rPr>
              <w:t>Los Angeles, CA</w:t>
            </w:r>
          </w:p>
        </w:tc>
      </w:tr>
      <w:tr>
        <w:trPr/>
        <w:tc>
          <w:tcPr>
            <w:tcW w:w="1620" w:type="dxa"/>
            <w:tcBorders/>
          </w:tcPr>
          <w:p>
            <w:pPr>
              <w:pStyle w:val="Normal"/>
              <w:snapToGrid w:val="false"/>
              <w:rPr>
                <w:b/>
                <w:smallCaps/>
                <w:color w:val="000000"/>
                <w:sz w:val="22"/>
              </w:rPr>
            </w:pPr>
            <w:r>
              <w:rPr>
                <w:b/>
                <w:smallCaps/>
                <w:color w:val="000000"/>
                <w:sz w:val="22"/>
              </w:rPr>
            </w:r>
          </w:p>
        </w:tc>
        <w:tc>
          <w:tcPr>
            <w:tcW w:w="9000" w:type="dxa"/>
            <w:gridSpan w:val="4"/>
            <w:tcBorders/>
          </w:tcPr>
          <w:p>
            <w:pPr>
              <w:pStyle w:val="BodyTextIndent"/>
              <w:tabs>
                <w:tab w:val="clear" w:pos="2160"/>
                <w:tab w:val="left" w:pos="1800" w:leader="none"/>
                <w:tab w:val="right" w:pos="10080" w:leader="none"/>
              </w:tabs>
              <w:spacing w:lineRule="auto" w:line="240" w:before="0" w:after="120"/>
              <w:ind w:hanging="0" w:start="0" w:end="0"/>
              <w:rPr>
                <w:color w:val="000000"/>
              </w:rPr>
            </w:pPr>
            <w:r>
              <w:rPr>
                <w:color w:val="000000"/>
              </w:rPr>
              <w:t xml:space="preserve">Founded consulting practice to provide advisory services for public and private sector enterprises that face challenging policy issues.  SolutionScope services are distinguished by rigorous quantitative and qualitative research and analysis, clear and effective communication of findings and options, and useful implementation plans. </w:t>
            </w:r>
          </w:p>
          <w:p>
            <w:pPr>
              <w:pStyle w:val="Normal"/>
              <w:spacing w:before="0" w:after="80"/>
              <w:jc w:val="both"/>
              <w:rPr>
                <w:color w:val="000000"/>
                <w:sz w:val="22"/>
              </w:rPr>
            </w:pPr>
            <w:r>
              <w:rPr>
                <w:color w:val="000000"/>
                <w:sz w:val="22"/>
              </w:rPr>
              <w:t>Recent projects:</w:t>
            </w:r>
          </w:p>
          <w:p>
            <w:pPr>
              <w:pStyle w:val="Normal"/>
              <w:numPr>
                <w:ilvl w:val="0"/>
                <w:numId w:val="2"/>
              </w:numPr>
              <w:spacing w:before="0" w:after="80"/>
              <w:jc w:val="both"/>
              <w:rPr>
                <w:color w:val="000000"/>
                <w:sz w:val="22"/>
              </w:rPr>
            </w:pPr>
            <w:r>
              <w:rPr>
                <w:color w:val="000000"/>
                <w:sz w:val="22"/>
              </w:rPr>
              <w:t>Led research and presented recommendations to Charter Reform Commission for modernizing City of Los Angeles’ governance and management structure.  Voters approved first comprehensive reform of City’s “constitution” in 75 years.</w:t>
            </w:r>
          </w:p>
          <w:p>
            <w:pPr>
              <w:pStyle w:val="Normal"/>
              <w:numPr>
                <w:ilvl w:val="0"/>
                <w:numId w:val="2"/>
              </w:numPr>
              <w:spacing w:before="0" w:after="80"/>
              <w:jc w:val="both"/>
              <w:rPr>
                <w:color w:val="000000"/>
                <w:sz w:val="22"/>
              </w:rPr>
            </w:pPr>
            <w:r>
              <w:rPr>
                <w:color w:val="000000"/>
                <w:sz w:val="22"/>
              </w:rPr>
              <w:t>Developed framework for creating neighborhood councils, a more responsive form of representation in Los Angeles called for by the new city Charter.  Implementation of a citywide system of neighborhood councils is now underway.</w:t>
            </w:r>
          </w:p>
          <w:p>
            <w:pPr>
              <w:pStyle w:val="Normal"/>
              <w:numPr>
                <w:ilvl w:val="0"/>
                <w:numId w:val="2"/>
              </w:numPr>
              <w:spacing w:before="0" w:after="80"/>
              <w:jc w:val="both"/>
              <w:rPr>
                <w:color w:val="000000"/>
                <w:sz w:val="22"/>
              </w:rPr>
            </w:pPr>
            <w:r>
              <w:rPr>
                <w:color w:val="000000"/>
                <w:sz w:val="22"/>
              </w:rPr>
              <w:t>Designed process for comprehensive strategic planning for Superintendent of Los Angeles Unified School District and conducted groundbreaking research on factors underlying student academic performance in the 720,000-student district.  School district is currently implementing multi-year strategic plan.</w:t>
            </w:r>
          </w:p>
          <w:p>
            <w:pPr>
              <w:pStyle w:val="Normal"/>
              <w:numPr>
                <w:ilvl w:val="0"/>
                <w:numId w:val="2"/>
              </w:numPr>
              <w:spacing w:before="0" w:after="180"/>
              <w:jc w:val="both"/>
              <w:rPr>
                <w:color w:val="000000"/>
                <w:sz w:val="22"/>
              </w:rPr>
            </w:pPr>
            <w:r>
              <w:rPr>
                <w:sz w:val="22"/>
              </w:rPr>
              <w:t>Conducted</w:t>
            </w:r>
            <w:r>
              <w:rPr>
                <w:color w:val="000000"/>
                <w:sz w:val="22"/>
              </w:rPr>
              <w:t xml:space="preserve"> in-depth assessment of fiscal practices of Los Angeles Unified School District, for president of United Teachers Los Angeles, that assisted union in winning School Board approval of new three-year contract for District’s 40,000 teachers.</w:t>
            </w:r>
          </w:p>
        </w:tc>
      </w:tr>
      <w:tr>
        <w:trPr/>
        <w:tc>
          <w:tcPr>
            <w:tcW w:w="1620" w:type="dxa"/>
            <w:tcBorders/>
          </w:tcPr>
          <w:p>
            <w:pPr>
              <w:pStyle w:val="Normal"/>
              <w:spacing w:before="120" w:after="0"/>
              <w:rPr>
                <w:color w:val="000000"/>
                <w:sz w:val="20"/>
              </w:rPr>
            </w:pPr>
            <w:r>
              <w:rPr>
                <w:color w:val="000000"/>
                <w:sz w:val="20"/>
              </w:rPr>
              <w:t>1984 to 1991</w:t>
            </w:r>
          </w:p>
        </w:tc>
        <w:tc>
          <w:tcPr>
            <w:tcW w:w="5940" w:type="dxa"/>
            <w:gridSpan w:val="2"/>
            <w:tcBorders/>
          </w:tcPr>
          <w:p>
            <w:pPr>
              <w:pStyle w:val="Normal"/>
              <w:spacing w:before="120" w:after="0"/>
              <w:rPr>
                <w:color w:val="000080"/>
                <w:sz w:val="22"/>
              </w:rPr>
            </w:pPr>
            <w:r>
              <w:rPr>
                <w:b/>
                <w:smallCaps/>
                <w:color w:val="000080"/>
              </w:rPr>
              <w:t>Goldman, Sachs &amp; Co.</w:t>
            </w:r>
            <w:r>
              <w:rPr>
                <w:bCs/>
                <w:color w:val="000080"/>
                <w:sz w:val="22"/>
              </w:rPr>
              <w:t>,  Vice President</w:t>
            </w:r>
          </w:p>
        </w:tc>
        <w:tc>
          <w:tcPr>
            <w:tcW w:w="3060" w:type="dxa"/>
            <w:gridSpan w:val="2"/>
            <w:tcBorders/>
          </w:tcPr>
          <w:p>
            <w:pPr>
              <w:pStyle w:val="Normal"/>
              <w:spacing w:before="120" w:after="0"/>
              <w:jc w:val="end"/>
              <w:rPr>
                <w:sz w:val="20"/>
              </w:rPr>
            </w:pPr>
            <w:r>
              <w:rPr>
                <w:sz w:val="20"/>
              </w:rPr>
              <w:t>New York, San Francisco</w:t>
            </w:r>
          </w:p>
        </w:tc>
      </w:tr>
      <w:tr>
        <w:trPr/>
        <w:tc>
          <w:tcPr>
            <w:tcW w:w="1620" w:type="dxa"/>
            <w:tcBorders/>
          </w:tcPr>
          <w:p>
            <w:pPr>
              <w:pStyle w:val="Normal"/>
              <w:spacing w:before="0" w:after="120"/>
              <w:rPr>
                <w:color w:val="000000"/>
                <w:sz w:val="20"/>
              </w:rPr>
            </w:pPr>
            <w:r>
              <w:rPr>
                <w:color w:val="000000"/>
                <w:sz w:val="20"/>
              </w:rPr>
              <w:t>1993 to 1995</w:t>
            </w:r>
          </w:p>
        </w:tc>
        <w:tc>
          <w:tcPr>
            <w:tcW w:w="5940" w:type="dxa"/>
            <w:gridSpan w:val="2"/>
            <w:tcBorders/>
          </w:tcPr>
          <w:p>
            <w:pPr>
              <w:pStyle w:val="Normal"/>
              <w:snapToGrid w:val="false"/>
              <w:spacing w:before="0" w:after="120"/>
              <w:rPr>
                <w:color w:val="000000"/>
                <w:sz w:val="22"/>
              </w:rPr>
            </w:pPr>
            <w:r>
              <w:rPr>
                <w:color w:val="000000"/>
                <w:sz w:val="22"/>
              </w:rPr>
            </w:r>
          </w:p>
        </w:tc>
        <w:tc>
          <w:tcPr>
            <w:tcW w:w="3060" w:type="dxa"/>
            <w:gridSpan w:val="2"/>
            <w:tcBorders/>
          </w:tcPr>
          <w:p>
            <w:pPr>
              <w:pStyle w:val="Normal"/>
              <w:spacing w:before="0" w:after="120"/>
              <w:jc w:val="end"/>
              <w:rPr>
                <w:sz w:val="20"/>
              </w:rPr>
            </w:pPr>
            <w:r>
              <w:rPr>
                <w:sz w:val="20"/>
              </w:rPr>
              <w:t>Los Angeles</w:t>
            </w:r>
          </w:p>
        </w:tc>
      </w:tr>
      <w:tr>
        <w:trPr/>
        <w:tc>
          <w:tcPr>
            <w:tcW w:w="1620" w:type="dxa"/>
            <w:tcBorders/>
          </w:tcPr>
          <w:p>
            <w:pPr>
              <w:pStyle w:val="Normal"/>
              <w:snapToGrid w:val="false"/>
              <w:rPr>
                <w:color w:val="000000"/>
                <w:sz w:val="22"/>
              </w:rPr>
            </w:pPr>
            <w:r>
              <w:rPr>
                <w:color w:val="000000"/>
                <w:sz w:val="22"/>
              </w:rPr>
            </w:r>
          </w:p>
        </w:tc>
        <w:tc>
          <w:tcPr>
            <w:tcW w:w="9000" w:type="dxa"/>
            <w:gridSpan w:val="4"/>
            <w:tcBorders/>
          </w:tcPr>
          <w:p>
            <w:pPr>
              <w:pStyle w:val="BodyText"/>
              <w:rPr>
                <w:color w:val="000000"/>
              </w:rPr>
            </w:pPr>
            <w:r>
              <w:rPr>
                <w:color w:val="000000"/>
              </w:rPr>
              <w:t>As an investment banker, specialized in tax-favored financings for governmental, non-profit and corporate entities.  Managed complex work-teams formed from representatives of organizations needed to successfully complete the transactions.  Securities required innovative and attentive design to comply with government regulations and credit market conditions.  Work was often carried out under significant public and media scrutiny.</w:t>
            </w:r>
          </w:p>
          <w:p>
            <w:pPr>
              <w:pStyle w:val="Normal"/>
              <w:spacing w:before="0" w:after="180"/>
              <w:jc w:val="both"/>
              <w:rPr/>
            </w:pPr>
            <w:r>
              <w:rPr>
                <w:color w:val="000000"/>
                <w:sz w:val="22"/>
              </w:rPr>
              <w:t xml:space="preserve">Experience with more than $3 billion of financings including </w:t>
            </w:r>
            <w:r>
              <w:rPr>
                <w:rFonts w:eastAsia="Symbol" w:cs="Symbol" w:ascii="Symbol" w:hAnsi="Symbol"/>
                <w:color w:val="000000"/>
                <w:sz w:val="22"/>
              </w:rPr>
              <w:sym w:font="Symbol" w:char="f0b7"/>
            </w:r>
            <w:r>
              <w:rPr>
                <w:color w:val="000000"/>
                <w:sz w:val="22"/>
              </w:rPr>
              <w:t xml:space="preserve"> Redevelopment in San Francisco and Los Angeles </w:t>
            </w:r>
            <w:r>
              <w:rPr>
                <w:rFonts w:eastAsia="Symbol" w:cs="Symbol" w:ascii="Symbol" w:hAnsi="Symbol"/>
                <w:color w:val="000000"/>
                <w:sz w:val="22"/>
              </w:rPr>
              <w:sym w:font="Symbol" w:char="f0b7"/>
            </w:r>
            <w:r>
              <w:rPr>
                <w:color w:val="000000"/>
                <w:sz w:val="22"/>
              </w:rPr>
              <w:t xml:space="preserve"> Capital cost reduction for Puerto Rico, Chicago and Southern California Metropolitan Water District </w:t>
            </w:r>
            <w:r>
              <w:rPr>
                <w:rFonts w:eastAsia="Symbol" w:cs="Symbol" w:ascii="Symbol" w:hAnsi="Symbol"/>
                <w:color w:val="000000"/>
                <w:sz w:val="22"/>
              </w:rPr>
              <w:sym w:font="Symbol" w:char="f0b7"/>
            </w:r>
            <w:r>
              <w:rPr>
                <w:color w:val="000000"/>
                <w:sz w:val="22"/>
              </w:rPr>
              <w:t xml:space="preserve"> Water systems in Cleveland and New Orleans </w:t>
            </w:r>
            <w:r>
              <w:rPr>
                <w:rFonts w:eastAsia="Symbol" w:cs="Symbol" w:ascii="Symbol" w:hAnsi="Symbol"/>
                <w:color w:val="000000"/>
                <w:sz w:val="22"/>
              </w:rPr>
              <w:sym w:font="Symbol" w:char="f0b7"/>
            </w:r>
            <w:r>
              <w:rPr>
                <w:color w:val="000000"/>
                <w:sz w:val="22"/>
              </w:rPr>
              <w:t xml:space="preserve"> Airport improvements in Sacramento and San Jose </w:t>
            </w:r>
            <w:r>
              <w:rPr>
                <w:rFonts w:eastAsia="Symbol" w:cs="Symbol" w:ascii="Symbol" w:hAnsi="Symbol"/>
                <w:color w:val="000000"/>
                <w:sz w:val="22"/>
              </w:rPr>
              <w:sym w:font="Symbol" w:char="f0b7"/>
            </w:r>
            <w:r>
              <w:rPr>
                <w:color w:val="000000"/>
                <w:sz w:val="22"/>
              </w:rPr>
              <w:t xml:space="preserve"> Arbitrage for Oakland and South Dakota pension systems.  Conducted advisory studies including </w:t>
            </w:r>
            <w:r>
              <w:rPr>
                <w:rFonts w:eastAsia="Symbol" w:cs="Symbol" w:ascii="Symbol" w:hAnsi="Symbol"/>
                <w:color w:val="000000"/>
                <w:sz w:val="22"/>
              </w:rPr>
              <w:sym w:font="Symbol" w:char="f0b7"/>
            </w:r>
            <w:r>
              <w:rPr>
                <w:color w:val="000000"/>
                <w:sz w:val="22"/>
              </w:rPr>
              <w:t xml:space="preserve"> Privatizing electric utility assets of Los Angeles </w:t>
            </w:r>
            <w:r>
              <w:rPr>
                <w:rFonts w:eastAsia="Symbol" w:cs="Symbol" w:ascii="Symbol" w:hAnsi="Symbol"/>
                <w:color w:val="000000"/>
                <w:sz w:val="22"/>
              </w:rPr>
              <w:sym w:font="Symbol" w:char="f0b7"/>
            </w:r>
            <w:r>
              <w:rPr>
                <w:color w:val="000000"/>
                <w:sz w:val="22"/>
              </w:rPr>
              <w:t xml:space="preserve"> Funding construction of Alameda Corridor rail project </w:t>
            </w:r>
            <w:r>
              <w:rPr>
                <w:rFonts w:eastAsia="Symbol" w:cs="Symbol" w:ascii="Symbol" w:hAnsi="Symbol"/>
                <w:color w:val="000000"/>
                <w:sz w:val="22"/>
              </w:rPr>
              <w:sym w:font="Symbol" w:char="f0b7"/>
            </w:r>
            <w:r>
              <w:rPr>
                <w:color w:val="000000"/>
                <w:sz w:val="22"/>
              </w:rPr>
              <w:t xml:space="preserve"> Developing financing strategy to fund stadium improvements and return Raiders football team to Oakland.</w:t>
            </w:r>
          </w:p>
          <w:p>
            <w:pPr>
              <w:pStyle w:val="Normal"/>
              <w:spacing w:before="0" w:after="180"/>
              <w:jc w:val="both"/>
              <w:rPr>
                <w:color w:val="000000"/>
                <w:sz w:val="22"/>
              </w:rPr>
            </w:pPr>
            <w:r>
              <w:rPr>
                <w:color w:val="000000"/>
                <w:sz w:val="22"/>
              </w:rPr>
              <w:t>(Took civic leave from 1991 to 1993)</w:t>
            </w:r>
          </w:p>
        </w:tc>
      </w:tr>
      <w:tr>
        <w:trPr/>
        <w:tc>
          <w:tcPr>
            <w:tcW w:w="1620" w:type="dxa"/>
            <w:tcBorders/>
          </w:tcPr>
          <w:p>
            <w:pPr>
              <w:pStyle w:val="Normal"/>
              <w:spacing w:before="120" w:after="120"/>
              <w:rPr>
                <w:color w:val="000000"/>
                <w:sz w:val="20"/>
              </w:rPr>
            </w:pPr>
            <w:r>
              <w:rPr>
                <w:sz w:val="20"/>
              </w:rPr>
              <w:t>1993</w:t>
            </w:r>
          </w:p>
        </w:tc>
        <w:tc>
          <w:tcPr>
            <w:tcW w:w="6480" w:type="dxa"/>
            <w:gridSpan w:val="3"/>
            <w:tcBorders/>
          </w:tcPr>
          <w:p>
            <w:pPr>
              <w:pStyle w:val="Heading7"/>
              <w:spacing w:before="120" w:after="120"/>
              <w:ind w:hanging="0" w:start="0"/>
              <w:rPr/>
            </w:pPr>
            <w:r>
              <w:rPr/>
              <w:t xml:space="preserve">Harvard University </w:t>
            </w:r>
          </w:p>
        </w:tc>
        <w:tc>
          <w:tcPr>
            <w:tcW w:w="2520" w:type="dxa"/>
            <w:tcBorders/>
          </w:tcPr>
          <w:p>
            <w:pPr>
              <w:pStyle w:val="Normal"/>
              <w:spacing w:before="120" w:after="120"/>
              <w:jc w:val="end"/>
              <w:rPr>
                <w:b/>
                <w:smallCaps/>
                <w:sz w:val="20"/>
              </w:rPr>
            </w:pPr>
            <w:r>
              <w:rPr>
                <w:sz w:val="20"/>
              </w:rPr>
              <w:t xml:space="preserve">Cambridge, MA </w:t>
            </w:r>
          </w:p>
        </w:tc>
      </w:tr>
      <w:tr>
        <w:trPr/>
        <w:tc>
          <w:tcPr>
            <w:tcW w:w="1620" w:type="dxa"/>
            <w:tcBorders/>
          </w:tcPr>
          <w:p>
            <w:pPr>
              <w:pStyle w:val="Normal"/>
              <w:snapToGrid w:val="false"/>
              <w:rPr>
                <w:b/>
                <w:smallCaps/>
                <w:color w:val="000000"/>
                <w:sz w:val="22"/>
              </w:rPr>
            </w:pPr>
            <w:r>
              <w:rPr>
                <w:b/>
                <w:smallCaps/>
                <w:color w:val="000000"/>
                <w:sz w:val="22"/>
              </w:rPr>
            </w:r>
          </w:p>
        </w:tc>
        <w:tc>
          <w:tcPr>
            <w:tcW w:w="9000" w:type="dxa"/>
            <w:gridSpan w:val="4"/>
            <w:tcBorders/>
          </w:tcPr>
          <w:p>
            <w:pPr>
              <w:pStyle w:val="BodyTextIndent"/>
              <w:tabs>
                <w:tab w:val="clear" w:pos="2160"/>
                <w:tab w:val="left" w:pos="1800" w:leader="none"/>
                <w:tab w:val="right" w:pos="10080" w:leader="none"/>
              </w:tabs>
              <w:spacing w:lineRule="auto" w:line="240" w:before="0" w:after="120"/>
              <w:ind w:hanging="0" w:start="0" w:end="0"/>
              <w:rPr>
                <w:color w:val="000000"/>
              </w:rPr>
            </w:pPr>
            <w:r>
              <w:rPr>
                <w:color w:val="000080"/>
              </w:rPr>
              <w:t xml:space="preserve">John F. Kennedy School of Government,  Lecturer </w:t>
            </w:r>
          </w:p>
        </w:tc>
      </w:tr>
      <w:tr>
        <w:trPr/>
        <w:tc>
          <w:tcPr>
            <w:tcW w:w="1620" w:type="dxa"/>
            <w:tcBorders/>
          </w:tcPr>
          <w:p>
            <w:pPr>
              <w:pStyle w:val="Normal"/>
              <w:snapToGrid w:val="false"/>
              <w:rPr>
                <w:color w:val="000000"/>
                <w:sz w:val="22"/>
              </w:rPr>
            </w:pPr>
            <w:r>
              <w:rPr>
                <w:color w:val="000000"/>
                <w:sz w:val="22"/>
              </w:rPr>
            </w:r>
          </w:p>
        </w:tc>
        <w:tc>
          <w:tcPr>
            <w:tcW w:w="9000" w:type="dxa"/>
            <w:gridSpan w:val="4"/>
            <w:tcBorders/>
          </w:tcPr>
          <w:p>
            <w:pPr>
              <w:pStyle w:val="Normal"/>
              <w:spacing w:before="0" w:after="180"/>
              <w:jc w:val="both"/>
              <w:rPr>
                <w:color w:val="000000"/>
                <w:sz w:val="22"/>
              </w:rPr>
            </w:pPr>
            <w:r>
              <w:rPr>
                <w:color w:val="000000"/>
                <w:sz w:val="22"/>
              </w:rPr>
              <w:t xml:space="preserve">Taught masters level corporate finance.  Redesigned and refocused the course to make it more relevant to students with public sector and international backgrounds.  </w:t>
            </w:r>
          </w:p>
        </w:tc>
      </w:tr>
    </w:tbl>
    <w:p>
      <w:pPr>
        <w:pStyle w:val="Normal"/>
        <w:spacing w:before="120" w:after="0"/>
        <w:ind w:end="547"/>
        <w:rPr/>
      </w:pPr>
      <w:r>
        <w:br w:type="page"/>
      </w:r>
      <w:r>
        <w:rPr>
          <w:b/>
          <w:bCs/>
          <w:color w:val="000080"/>
        </w:rPr>
        <w:t>Kevin Scott</w:t>
      </w:r>
      <w:r>
        <w:rPr>
          <w:sz w:val="22"/>
        </w:rPr>
        <w:t xml:space="preserve">  </w:t>
      </w:r>
      <w:r>
        <w:rPr>
          <w:rFonts w:eastAsia="Symbol" w:cs="Symbol" w:ascii="Symbol" w:hAnsi="Symbol"/>
          <w:sz w:val="22"/>
        </w:rPr>
        <w:sym w:font="Symbol" w:char="f0b7"/>
      </w:r>
      <w:r>
        <w:rPr>
          <w:sz w:val="22"/>
        </w:rPr>
        <w:t xml:space="preserve">  continued</w:t>
      </w:r>
    </w:p>
    <w:p>
      <w:pPr>
        <w:pStyle w:val="Normal"/>
        <w:ind w:end="540"/>
        <w:rPr>
          <w:sz w:val="22"/>
        </w:rPr>
      </w:pPr>
      <w:r>
        <w:rPr>
          <w:sz w:val="22"/>
        </w:rPr>
      </w:r>
    </w:p>
    <w:tbl>
      <w:tblPr>
        <w:tblW w:w="10685" w:type="dxa"/>
        <w:jc w:val="center"/>
        <w:tblInd w:w="0" w:type="dxa"/>
        <w:tblLayout w:type="fixed"/>
        <w:tblCellMar>
          <w:top w:w="0" w:type="dxa"/>
          <w:start w:w="72" w:type="dxa"/>
          <w:bottom w:w="0" w:type="dxa"/>
          <w:end w:w="115" w:type="dxa"/>
        </w:tblCellMar>
      </w:tblPr>
      <w:tblGrid>
        <w:gridCol w:w="1657"/>
        <w:gridCol w:w="28"/>
        <w:gridCol w:w="5946"/>
        <w:gridCol w:w="1220"/>
        <w:gridCol w:w="114"/>
        <w:gridCol w:w="1692"/>
        <w:gridCol w:w="28"/>
      </w:tblGrid>
      <w:tr>
        <w:trPr/>
        <w:tc>
          <w:tcPr>
            <w:tcW w:w="1657" w:type="dxa"/>
            <w:tcBorders>
              <w:top w:val="single" w:sz="8" w:space="0" w:color="000000"/>
            </w:tcBorders>
          </w:tcPr>
          <w:p>
            <w:pPr>
              <w:pStyle w:val="Heading4"/>
              <w:spacing w:before="120" w:after="60"/>
              <w:rPr>
                <w:smallCaps/>
                <w:color w:val="000080"/>
              </w:rPr>
            </w:pPr>
            <w:r>
              <w:rPr>
                <w:smallCaps/>
                <w:color w:val="000080"/>
              </w:rPr>
              <w:t>Experience</w:t>
            </w:r>
          </w:p>
        </w:tc>
        <w:tc>
          <w:tcPr>
            <w:tcW w:w="7194" w:type="dxa"/>
            <w:gridSpan w:val="3"/>
            <w:tcBorders>
              <w:top w:val="single" w:sz="8" w:space="0" w:color="000000"/>
            </w:tcBorders>
            <w:tcMar>
              <w:start w:w="58" w:type="dxa"/>
              <w:end w:w="173" w:type="dxa"/>
            </w:tcMar>
          </w:tcPr>
          <w:p>
            <w:pPr>
              <w:pStyle w:val="Heading1"/>
              <w:snapToGrid w:val="false"/>
              <w:spacing w:before="120" w:after="60"/>
              <w:ind w:hanging="0" w:start="0" w:end="540"/>
              <w:rPr>
                <w:bCs w:val="false"/>
                <w:smallCaps/>
                <w:color w:val="000000"/>
                <w:sz w:val="24"/>
              </w:rPr>
            </w:pPr>
            <w:r>
              <w:rPr>
                <w:bCs w:val="false"/>
                <w:smallCaps/>
                <w:color w:val="000000"/>
                <w:sz w:val="24"/>
              </w:rPr>
            </w:r>
          </w:p>
        </w:tc>
        <w:tc>
          <w:tcPr>
            <w:tcW w:w="1806" w:type="dxa"/>
            <w:gridSpan w:val="2"/>
            <w:tcBorders>
              <w:top w:val="single" w:sz="8" w:space="0" w:color="000000"/>
            </w:tcBorders>
            <w:tcMar>
              <w:start w:w="58" w:type="dxa"/>
              <w:end w:w="173" w:type="dxa"/>
            </w:tcMar>
          </w:tcPr>
          <w:p>
            <w:pPr>
              <w:pStyle w:val="Normal"/>
              <w:keepNext w:val="true"/>
              <w:numPr>
                <w:ilvl w:val="0"/>
                <w:numId w:val="0"/>
              </w:numPr>
              <w:snapToGrid w:val="false"/>
              <w:spacing w:before="120" w:after="60"/>
              <w:ind w:end="540"/>
              <w:jc w:val="end"/>
              <w:outlineLvl w:val="0"/>
              <w:rPr>
                <w:bCs w:val="false"/>
                <w:smallCaps/>
                <w:color w:val="000000"/>
                <w:sz w:val="22"/>
              </w:rPr>
            </w:pPr>
            <w:r>
              <w:rPr>
                <w:bCs w:val="false"/>
                <w:smallCaps/>
                <w:color w:val="000000"/>
                <w:sz w:val="22"/>
              </w:rPr>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1991 to 1993</w:t>
            </w:r>
          </w:p>
        </w:tc>
        <w:tc>
          <w:tcPr>
            <w:tcW w:w="5974" w:type="dxa"/>
            <w:gridSpan w:val="2"/>
            <w:tcBorders/>
            <w:tcMar>
              <w:start w:w="58" w:type="dxa"/>
              <w:end w:w="173" w:type="dxa"/>
            </w:tcMar>
          </w:tcPr>
          <w:p>
            <w:pPr>
              <w:pStyle w:val="Normal"/>
              <w:spacing w:before="120" w:after="120"/>
              <w:ind w:end="540"/>
              <w:rPr>
                <w:color w:val="000080"/>
                <w:sz w:val="22"/>
              </w:rPr>
            </w:pPr>
            <w:r>
              <w:rPr>
                <w:b/>
                <w:smallCaps/>
                <w:color w:val="000080"/>
              </w:rPr>
              <w:t>State of California</w:t>
            </w:r>
            <w:r>
              <w:rPr/>
              <w:t xml:space="preserve"> </w:t>
            </w:r>
          </w:p>
        </w:tc>
        <w:tc>
          <w:tcPr>
            <w:tcW w:w="3026" w:type="dxa"/>
            <w:gridSpan w:val="3"/>
            <w:tcBorders/>
            <w:tcMar>
              <w:start w:w="58" w:type="dxa"/>
              <w:end w:w="173" w:type="dxa"/>
            </w:tcMar>
          </w:tcPr>
          <w:p>
            <w:pPr>
              <w:pStyle w:val="Normal"/>
              <w:tabs>
                <w:tab w:val="clear" w:pos="720"/>
                <w:tab w:val="left" w:pos="8911" w:leader="none"/>
              </w:tabs>
              <w:spacing w:before="120" w:after="120"/>
              <w:ind w:end="57"/>
              <w:jc w:val="end"/>
              <w:rPr>
                <w:color w:val="000000"/>
                <w:sz w:val="20"/>
              </w:rPr>
            </w:pPr>
            <w:r>
              <w:rPr>
                <w:sz w:val="20"/>
              </w:rPr>
              <w:t xml:space="preserve">Sacramento, CA </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80"/>
              </w:rPr>
              <w:t>Commission on State Finance,  Executive Director</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00"/>
                <w:sz w:val="22"/>
              </w:rPr>
              <w:t>Led bipartisan “fiscal watchdog” commission.  Transformed Commission into a key source of budget and economic information by offering credible, insightful and timely forecasts.  Presented findings in easy-to-understand formats to top state officials, the press, private-sector analysts, and the public.</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1982 to 1983</w:t>
            </w:r>
          </w:p>
        </w:tc>
        <w:tc>
          <w:tcPr>
            <w:tcW w:w="5974" w:type="dxa"/>
            <w:gridSpan w:val="2"/>
            <w:tcBorders/>
            <w:tcMar>
              <w:start w:w="58" w:type="dxa"/>
              <w:end w:w="173" w:type="dxa"/>
            </w:tcMar>
          </w:tcPr>
          <w:p>
            <w:pPr>
              <w:pStyle w:val="Normal"/>
              <w:spacing w:before="120" w:after="120"/>
              <w:ind w:end="540"/>
              <w:rPr>
                <w:color w:val="000080"/>
                <w:sz w:val="22"/>
              </w:rPr>
            </w:pPr>
            <w:r>
              <w:rPr>
                <w:b/>
                <w:smallCaps/>
                <w:color w:val="000080"/>
              </w:rPr>
              <w:t>UNC Ventures</w:t>
            </w:r>
            <w:r>
              <w:rPr>
                <w:bCs/>
                <w:color w:val="000080"/>
                <w:sz w:val="22"/>
              </w:rPr>
              <w:t>,  Associate</w:t>
            </w:r>
          </w:p>
        </w:tc>
        <w:tc>
          <w:tcPr>
            <w:tcW w:w="3026" w:type="dxa"/>
            <w:gridSpan w:val="3"/>
            <w:tcBorders/>
            <w:tcMar>
              <w:start w:w="58" w:type="dxa"/>
              <w:end w:w="173" w:type="dxa"/>
            </w:tcMar>
          </w:tcPr>
          <w:p>
            <w:pPr>
              <w:pStyle w:val="Normal"/>
              <w:tabs>
                <w:tab w:val="clear" w:pos="720"/>
                <w:tab w:val="left" w:pos="8911" w:leader="none"/>
              </w:tabs>
              <w:spacing w:before="120" w:after="120"/>
              <w:ind w:end="57"/>
              <w:jc w:val="end"/>
              <w:rPr>
                <w:color w:val="000000"/>
                <w:sz w:val="20"/>
              </w:rPr>
            </w:pPr>
            <w:r>
              <w:rPr>
                <w:color w:val="000000"/>
                <w:sz w:val="20"/>
              </w:rPr>
              <w:t>Boston, MA</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00"/>
                <w:sz w:val="22"/>
              </w:rPr>
              <w:t xml:space="preserve">During graduate school, worked for a venture capital firm that focused on investing in minority-owned businesses. Developed firm’s first personal computer based model for tracking performance of portfolio companies and forecasting venture fund’s long-term rate of return.  Evaluated the credit worthiness, management strength, and market potential of proposed investments. </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1979 to 1981</w:t>
            </w:r>
          </w:p>
        </w:tc>
        <w:tc>
          <w:tcPr>
            <w:tcW w:w="5974" w:type="dxa"/>
            <w:gridSpan w:val="2"/>
            <w:tcBorders/>
            <w:tcMar>
              <w:start w:w="58" w:type="dxa"/>
              <w:end w:w="173" w:type="dxa"/>
            </w:tcMar>
          </w:tcPr>
          <w:p>
            <w:pPr>
              <w:pStyle w:val="Normal"/>
              <w:spacing w:before="120" w:after="120"/>
              <w:ind w:end="540"/>
              <w:rPr>
                <w:color w:val="000080"/>
                <w:sz w:val="22"/>
              </w:rPr>
            </w:pPr>
            <w:r>
              <w:rPr>
                <w:b/>
                <w:smallCaps/>
                <w:color w:val="000080"/>
              </w:rPr>
              <w:t>McKinsey &amp; Company</w:t>
            </w:r>
            <w:r>
              <w:rPr>
                <w:bCs/>
                <w:color w:val="000080"/>
                <w:sz w:val="22"/>
              </w:rPr>
              <w:t>,  Analyst</w:t>
            </w:r>
          </w:p>
        </w:tc>
        <w:tc>
          <w:tcPr>
            <w:tcW w:w="3026" w:type="dxa"/>
            <w:gridSpan w:val="3"/>
            <w:tcBorders/>
            <w:tcMar>
              <w:start w:w="58" w:type="dxa"/>
              <w:end w:w="173" w:type="dxa"/>
            </w:tcMar>
          </w:tcPr>
          <w:p>
            <w:pPr>
              <w:pStyle w:val="Normal"/>
              <w:tabs>
                <w:tab w:val="clear" w:pos="720"/>
                <w:tab w:val="left" w:pos="8911" w:leader="none"/>
              </w:tabs>
              <w:spacing w:before="120" w:after="120"/>
              <w:ind w:end="57"/>
              <w:jc w:val="end"/>
              <w:rPr>
                <w:color w:val="000000"/>
                <w:sz w:val="20"/>
              </w:rPr>
            </w:pPr>
            <w:r>
              <w:rPr>
                <w:color w:val="000000"/>
                <w:sz w:val="20"/>
              </w:rPr>
              <w:t>Texas, Mexico, and Venezuela</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20"/>
              <w:ind w:end="57"/>
              <w:jc w:val="both"/>
              <w:rPr>
                <w:color w:val="000000"/>
                <w:sz w:val="22"/>
              </w:rPr>
            </w:pPr>
            <w:r>
              <w:rPr>
                <w:color w:val="000000"/>
                <w:sz w:val="22"/>
              </w:rPr>
              <w:t>Working in English and Spanish, analyzed financial condition and operating efficiency of client companies.  Conducted market research, evaluated industry trends and assessed competitive business opportunities for clients seeking acquisition candidates.  Carried out research used for the start-up of McKinsey’s energy practice.</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Heading2"/>
              <w:spacing w:before="60" w:after="60"/>
              <w:ind w:hanging="0" w:start="0" w:end="115"/>
              <w:rPr>
                <w:smallCaps/>
                <w:color w:val="000080"/>
              </w:rPr>
            </w:pPr>
            <w:r>
              <w:rPr>
                <w:smallCaps/>
                <w:color w:val="000080"/>
              </w:rPr>
              <w:t>Education</w:t>
            </w:r>
          </w:p>
        </w:tc>
        <w:tc>
          <w:tcPr>
            <w:tcW w:w="7308" w:type="dxa"/>
            <w:gridSpan w:val="4"/>
            <w:tcBorders/>
            <w:tcMar>
              <w:start w:w="58" w:type="dxa"/>
              <w:end w:w="173" w:type="dxa"/>
            </w:tcMar>
          </w:tcPr>
          <w:p>
            <w:pPr>
              <w:pStyle w:val="Normal"/>
              <w:snapToGrid w:val="false"/>
              <w:spacing w:before="120" w:after="120"/>
              <w:ind w:end="540"/>
              <w:rPr>
                <w:smallCaps/>
                <w:color w:val="000000"/>
                <w:sz w:val="22"/>
              </w:rPr>
            </w:pPr>
            <w:r>
              <w:rPr>
                <w:smallCaps/>
                <w:color w:val="000000"/>
                <w:sz w:val="22"/>
              </w:rPr>
            </w:r>
          </w:p>
        </w:tc>
        <w:tc>
          <w:tcPr>
            <w:tcW w:w="1692" w:type="dxa"/>
            <w:tcBorders/>
            <w:tcMar>
              <w:start w:w="58" w:type="dxa"/>
              <w:end w:w="173" w:type="dxa"/>
            </w:tcMar>
          </w:tcPr>
          <w:p>
            <w:pPr>
              <w:pStyle w:val="Normal"/>
              <w:snapToGrid w:val="false"/>
              <w:spacing w:before="120" w:after="120"/>
              <w:ind w:end="540"/>
              <w:rPr>
                <w:color w:val="000000"/>
                <w:sz w:val="22"/>
              </w:rPr>
            </w:pPr>
            <w:r>
              <w:rPr>
                <w:color w:val="000000"/>
                <w:sz w:val="22"/>
              </w:rPr>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keepNext w:val="true"/>
              <w:numPr>
                <w:ilvl w:val="0"/>
                <w:numId w:val="0"/>
              </w:numPr>
              <w:spacing w:before="0" w:after="120"/>
              <w:ind w:end="121"/>
              <w:outlineLvl w:val="0"/>
              <w:rPr>
                <w:sz w:val="22"/>
              </w:rPr>
            </w:pPr>
            <w:r>
              <w:rPr>
                <w:sz w:val="20"/>
              </w:rPr>
              <w:t>1981 to 1984</w:t>
            </w:r>
          </w:p>
        </w:tc>
        <w:tc>
          <w:tcPr>
            <w:tcW w:w="7308" w:type="dxa"/>
            <w:gridSpan w:val="4"/>
            <w:tcBorders/>
            <w:tcMar>
              <w:start w:w="58" w:type="dxa"/>
              <w:end w:w="173" w:type="dxa"/>
            </w:tcMar>
          </w:tcPr>
          <w:p>
            <w:pPr>
              <w:pStyle w:val="Heading5"/>
              <w:spacing w:before="0" w:after="120"/>
              <w:rPr/>
            </w:pPr>
            <w:r>
              <w:rPr/>
              <w:t>Harvard University</w:t>
            </w:r>
          </w:p>
        </w:tc>
        <w:tc>
          <w:tcPr>
            <w:tcW w:w="1692" w:type="dxa"/>
            <w:tcBorders/>
            <w:tcMar>
              <w:start w:w="58" w:type="dxa"/>
              <w:end w:w="173" w:type="dxa"/>
            </w:tcMar>
          </w:tcPr>
          <w:p>
            <w:pPr>
              <w:pStyle w:val="Normal"/>
              <w:snapToGrid w:val="false"/>
              <w:spacing w:before="0" w:after="120"/>
              <w:ind w:end="540"/>
              <w:rPr>
                <w:sz w:val="22"/>
              </w:rPr>
            </w:pPr>
            <w:r>
              <w:rPr>
                <w:sz w:val="22"/>
              </w:rPr>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ind w:end="121"/>
              <w:rPr>
                <w:sz w:val="22"/>
              </w:rPr>
            </w:pPr>
            <w:r>
              <w:rPr>
                <w:sz w:val="22"/>
              </w:rPr>
            </w:r>
          </w:p>
        </w:tc>
        <w:tc>
          <w:tcPr>
            <w:tcW w:w="7308" w:type="dxa"/>
            <w:gridSpan w:val="4"/>
            <w:tcBorders/>
            <w:tcMar>
              <w:start w:w="58" w:type="dxa"/>
              <w:end w:w="173" w:type="dxa"/>
            </w:tcMar>
          </w:tcPr>
          <w:p>
            <w:pPr>
              <w:pStyle w:val="Normal"/>
              <w:ind w:end="540"/>
              <w:rPr>
                <w:color w:val="000080"/>
                <w:sz w:val="22"/>
              </w:rPr>
            </w:pPr>
            <w:r>
              <w:rPr>
                <w:color w:val="000080"/>
                <w:sz w:val="22"/>
              </w:rPr>
              <w:t>Graduate School of Business Administration</w:t>
            </w:r>
          </w:p>
        </w:tc>
        <w:tc>
          <w:tcPr>
            <w:tcW w:w="1692" w:type="dxa"/>
            <w:tcBorders/>
            <w:tcMar>
              <w:start w:w="58" w:type="dxa"/>
              <w:end w:w="173" w:type="dxa"/>
            </w:tcMar>
          </w:tcPr>
          <w:p>
            <w:pPr>
              <w:pStyle w:val="Normal"/>
              <w:jc w:val="end"/>
              <w:rPr>
                <w:sz w:val="20"/>
              </w:rPr>
            </w:pPr>
            <w:r>
              <w:rPr>
                <w:sz w:val="20"/>
              </w:rPr>
              <w:t>Boston, MA</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spacing w:before="0" w:after="120"/>
              <w:ind w:end="121"/>
              <w:rPr>
                <w:sz w:val="22"/>
              </w:rPr>
            </w:pPr>
            <w:r>
              <w:rPr>
                <w:sz w:val="22"/>
              </w:rPr>
            </w:r>
          </w:p>
        </w:tc>
        <w:tc>
          <w:tcPr>
            <w:tcW w:w="7308" w:type="dxa"/>
            <w:gridSpan w:val="4"/>
            <w:tcBorders/>
            <w:tcMar>
              <w:start w:w="58" w:type="dxa"/>
              <w:end w:w="173" w:type="dxa"/>
            </w:tcMar>
          </w:tcPr>
          <w:p>
            <w:pPr>
              <w:pStyle w:val="Normal"/>
              <w:spacing w:before="0" w:after="120"/>
              <w:ind w:end="540"/>
              <w:rPr>
                <w:color w:val="000080"/>
                <w:sz w:val="22"/>
              </w:rPr>
            </w:pPr>
            <w:r>
              <w:rPr>
                <w:color w:val="000080"/>
                <w:sz w:val="22"/>
              </w:rPr>
              <w:t>John F. Kennedy School of Government</w:t>
            </w:r>
          </w:p>
        </w:tc>
        <w:tc>
          <w:tcPr>
            <w:tcW w:w="1692" w:type="dxa"/>
            <w:tcBorders/>
            <w:tcMar>
              <w:start w:w="58" w:type="dxa"/>
              <w:end w:w="173" w:type="dxa"/>
            </w:tcMar>
          </w:tcPr>
          <w:p>
            <w:pPr>
              <w:pStyle w:val="Normal"/>
              <w:spacing w:before="0" w:after="120"/>
              <w:jc w:val="end"/>
              <w:rPr>
                <w:sz w:val="20"/>
              </w:rPr>
            </w:pPr>
            <w:r>
              <w:rPr>
                <w:sz w:val="20"/>
              </w:rPr>
              <w:t>Cambridge, MA</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80"/>
              <w:ind w:end="57"/>
              <w:jc w:val="both"/>
              <w:rPr>
                <w:color w:val="000000"/>
                <w:sz w:val="22"/>
              </w:rPr>
            </w:pPr>
            <w:r>
              <w:rPr>
                <w:color w:val="000000"/>
                <w:sz w:val="22"/>
              </w:rPr>
              <w:t xml:space="preserve">Structured joint degree program to earn Master in Business Administration and Master of Public Policy.  Concentrated in finance and management with a focus on business-government interdependencies and joint partnerships. </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Normal"/>
              <w:keepNext w:val="true"/>
              <w:numPr>
                <w:ilvl w:val="0"/>
                <w:numId w:val="0"/>
              </w:numPr>
              <w:spacing w:before="120" w:after="0"/>
              <w:ind w:end="121"/>
              <w:outlineLvl w:val="0"/>
              <w:rPr>
                <w:sz w:val="22"/>
              </w:rPr>
            </w:pPr>
            <w:r>
              <w:rPr>
                <w:sz w:val="20"/>
              </w:rPr>
              <w:t>1974 to 1979</w:t>
            </w:r>
          </w:p>
        </w:tc>
        <w:tc>
          <w:tcPr>
            <w:tcW w:w="7308" w:type="dxa"/>
            <w:gridSpan w:val="4"/>
            <w:tcBorders/>
            <w:tcMar>
              <w:start w:w="58" w:type="dxa"/>
              <w:end w:w="173" w:type="dxa"/>
            </w:tcMar>
          </w:tcPr>
          <w:p>
            <w:pPr>
              <w:pStyle w:val="Heading5"/>
              <w:spacing w:before="120" w:after="0"/>
              <w:rPr/>
            </w:pPr>
            <w:r>
              <w:rPr/>
              <w:t>Claremont McKenna College</w:t>
            </w:r>
          </w:p>
        </w:tc>
        <w:tc>
          <w:tcPr>
            <w:tcW w:w="1692" w:type="dxa"/>
            <w:tcBorders/>
            <w:tcMar>
              <w:start w:w="58" w:type="dxa"/>
              <w:end w:w="173" w:type="dxa"/>
            </w:tcMar>
          </w:tcPr>
          <w:p>
            <w:pPr>
              <w:pStyle w:val="Normal"/>
              <w:tabs>
                <w:tab w:val="clear" w:pos="720"/>
                <w:tab w:val="left" w:pos="8911" w:leader="none"/>
              </w:tabs>
              <w:spacing w:before="120" w:after="0"/>
              <w:ind w:end="57"/>
              <w:jc w:val="end"/>
              <w:rPr>
                <w:sz w:val="20"/>
              </w:rPr>
            </w:pPr>
            <w:r>
              <w:rPr>
                <w:sz w:val="20"/>
              </w:rPr>
              <w:t>Claremont, CA</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pacing w:before="0" w:after="120"/>
              <w:ind w:end="121"/>
              <w:rPr>
                <w:sz w:val="20"/>
              </w:rPr>
            </w:pPr>
            <w:r>
              <w:rPr>
                <w:sz w:val="20"/>
              </w:rPr>
              <w:t>1977</w:t>
            </w:r>
          </w:p>
        </w:tc>
        <w:tc>
          <w:tcPr>
            <w:tcW w:w="7308" w:type="dxa"/>
            <w:gridSpan w:val="4"/>
            <w:tcBorders/>
            <w:tcMar>
              <w:start w:w="58" w:type="dxa"/>
              <w:end w:w="173" w:type="dxa"/>
            </w:tcMar>
          </w:tcPr>
          <w:p>
            <w:pPr>
              <w:pStyle w:val="Normal"/>
              <w:spacing w:before="0" w:after="120"/>
              <w:ind w:end="540"/>
              <w:rPr>
                <w:b/>
                <w:smallCaps/>
                <w:color w:val="000080"/>
                <w:sz w:val="22"/>
              </w:rPr>
            </w:pPr>
            <w:r>
              <w:rPr>
                <w:b/>
                <w:smallCaps/>
                <w:color w:val="000080"/>
                <w:sz w:val="22"/>
              </w:rPr>
              <w:t>Universidad de Chile</w:t>
            </w:r>
          </w:p>
        </w:tc>
        <w:tc>
          <w:tcPr>
            <w:tcW w:w="1692" w:type="dxa"/>
            <w:tcBorders/>
            <w:tcMar>
              <w:start w:w="58" w:type="dxa"/>
              <w:end w:w="173" w:type="dxa"/>
            </w:tcMar>
          </w:tcPr>
          <w:p>
            <w:pPr>
              <w:pStyle w:val="Normal"/>
              <w:tabs>
                <w:tab w:val="clear" w:pos="720"/>
                <w:tab w:val="left" w:pos="8911" w:leader="none"/>
              </w:tabs>
              <w:spacing w:before="0" w:after="120"/>
              <w:ind w:end="57"/>
              <w:jc w:val="end"/>
              <w:rPr>
                <w:sz w:val="20"/>
              </w:rPr>
            </w:pPr>
            <w:r>
              <w:rPr>
                <w:sz w:val="20"/>
              </w:rPr>
              <w:t>Santiago, Chile</w:t>
            </w:r>
          </w:p>
        </w:tc>
        <w:tc>
          <w:tcPr>
            <w:tcW w:w="28" w:type="dxa"/>
            <w:tcBorders/>
            <w:tcMar>
              <w:start w:w="0" w:type="dxa"/>
              <w:end w:w="0" w:type="dxa"/>
            </w:tcMar>
          </w:tcPr>
          <w:p>
            <w:pPr>
              <w:pStyle w:val="Normal"/>
              <w:snapToGrid w:val="false"/>
              <w:rPr>
                <w:sz w:val="22"/>
              </w:rPr>
            </w:pPr>
            <w:r>
              <w:rPr>
                <w:sz w:val="22"/>
              </w:rPr>
            </w:r>
          </w:p>
        </w:tc>
      </w:tr>
      <w:tr>
        <w:trPr/>
        <w:tc>
          <w:tcPr>
            <w:tcW w:w="1657" w:type="dxa"/>
            <w:tcBorders/>
          </w:tcPr>
          <w:p>
            <w:pPr>
              <w:pStyle w:val="Normal"/>
              <w:snapToGrid w:val="false"/>
              <w:ind w:end="121"/>
              <w:rPr>
                <w:sz w:val="22"/>
              </w:rPr>
            </w:pPr>
            <w:r>
              <w:rPr>
                <w:sz w:val="22"/>
              </w:rPr>
            </w:r>
          </w:p>
        </w:tc>
        <w:tc>
          <w:tcPr>
            <w:tcW w:w="9000" w:type="dxa"/>
            <w:gridSpan w:val="5"/>
            <w:tcBorders/>
            <w:tcMar>
              <w:start w:w="58" w:type="dxa"/>
              <w:end w:w="173" w:type="dxa"/>
            </w:tcMar>
          </w:tcPr>
          <w:p>
            <w:pPr>
              <w:pStyle w:val="Normal"/>
              <w:tabs>
                <w:tab w:val="clear" w:pos="720"/>
                <w:tab w:val="left" w:pos="8911" w:leader="none"/>
              </w:tabs>
              <w:spacing w:before="0" w:after="180"/>
              <w:ind w:end="57"/>
              <w:jc w:val="both"/>
              <w:rPr>
                <w:color w:val="000000"/>
                <w:sz w:val="22"/>
              </w:rPr>
            </w:pPr>
            <w:r>
              <w:rPr>
                <w:color w:val="000000"/>
                <w:sz w:val="22"/>
              </w:rPr>
              <w:t>Earned Bachelor of Arts degree with honors in Economics and Latin American Studies.  Developed fluency in Spanish.  Studied developmental economics for two semesters at the University of Chile as a Rotary Foundation scholar.</w:t>
            </w:r>
          </w:p>
        </w:tc>
        <w:tc>
          <w:tcPr>
            <w:tcW w:w="28" w:type="dxa"/>
            <w:tcBorders/>
            <w:tcMar>
              <w:start w:w="0" w:type="dxa"/>
              <w:end w:w="0" w:type="dxa"/>
            </w:tcMar>
          </w:tcPr>
          <w:p>
            <w:pPr>
              <w:pStyle w:val="Normal"/>
              <w:snapToGrid w:val="false"/>
              <w:rPr>
                <w:color w:val="000000"/>
                <w:sz w:val="22"/>
              </w:rPr>
            </w:pPr>
            <w:r>
              <w:rPr>
                <w:color w:val="000000"/>
                <w:sz w:val="22"/>
              </w:rPr>
            </w:r>
          </w:p>
        </w:tc>
      </w:tr>
      <w:tr>
        <w:trPr/>
        <w:tc>
          <w:tcPr>
            <w:tcW w:w="1657" w:type="dxa"/>
            <w:tcBorders/>
          </w:tcPr>
          <w:p>
            <w:pPr>
              <w:pStyle w:val="Heading2"/>
              <w:spacing w:before="60" w:after="60"/>
              <w:ind w:hanging="0" w:start="0" w:end="115"/>
              <w:rPr>
                <w:smallCaps/>
                <w:color w:val="000080"/>
              </w:rPr>
            </w:pPr>
            <w:r>
              <w:rPr>
                <w:smallCaps/>
                <w:color w:val="000080"/>
              </w:rPr>
              <w:t>Service</w:t>
            </w:r>
          </w:p>
        </w:tc>
        <w:tc>
          <w:tcPr>
            <w:tcW w:w="7308" w:type="dxa"/>
            <w:gridSpan w:val="4"/>
            <w:tcBorders/>
            <w:tcMar>
              <w:start w:w="58" w:type="dxa"/>
              <w:end w:w="173" w:type="dxa"/>
            </w:tcMar>
          </w:tcPr>
          <w:p>
            <w:pPr>
              <w:pStyle w:val="Normal"/>
              <w:keepNext w:val="true"/>
              <w:numPr>
                <w:ilvl w:val="0"/>
                <w:numId w:val="0"/>
              </w:numPr>
              <w:snapToGrid w:val="false"/>
              <w:spacing w:before="60" w:after="60"/>
              <w:ind w:end="115"/>
              <w:outlineLvl w:val="1"/>
              <w:rPr>
                <w:smallCaps/>
                <w:color w:val="000000"/>
                <w:sz w:val="22"/>
              </w:rPr>
            </w:pPr>
            <w:r>
              <w:rPr>
                <w:smallCaps/>
                <w:color w:val="000000"/>
                <w:sz w:val="22"/>
              </w:rPr>
            </w:r>
          </w:p>
        </w:tc>
        <w:tc>
          <w:tcPr>
            <w:tcW w:w="1692" w:type="dxa"/>
            <w:tcBorders/>
            <w:tcMar>
              <w:start w:w="58" w:type="dxa"/>
              <w:end w:w="173" w:type="dxa"/>
            </w:tcMar>
          </w:tcPr>
          <w:p>
            <w:pPr>
              <w:pStyle w:val="Normal"/>
              <w:keepNext w:val="true"/>
              <w:numPr>
                <w:ilvl w:val="0"/>
                <w:numId w:val="0"/>
              </w:numPr>
              <w:snapToGrid w:val="false"/>
              <w:spacing w:before="60" w:after="60"/>
              <w:ind w:end="115"/>
              <w:outlineLvl w:val="1"/>
              <w:rPr>
                <w:color w:val="000000"/>
                <w:sz w:val="22"/>
              </w:rPr>
            </w:pPr>
            <w:r>
              <w:rPr>
                <w:color w:val="000000"/>
                <w:sz w:val="22"/>
              </w:rPr>
            </w:r>
          </w:p>
        </w:tc>
        <w:tc>
          <w:tcPr>
            <w:tcW w:w="28" w:type="dxa"/>
            <w:tcBorders/>
            <w:tcMar>
              <w:start w:w="0" w:type="dxa"/>
              <w:end w:w="0" w:type="dxa"/>
            </w:tcMar>
          </w:tcPr>
          <w:p>
            <w:pPr>
              <w:pStyle w:val="Normal"/>
              <w:snapToGrid w:val="false"/>
              <w:rPr>
                <w:sz w:val="22"/>
              </w:rPr>
            </w:pPr>
            <w:r>
              <w:rPr>
                <w:sz w:val="22"/>
              </w:rPr>
            </w:r>
          </w:p>
        </w:tc>
      </w:tr>
      <w:tr>
        <w:trPr/>
        <w:tc>
          <w:tcPr>
            <w:tcW w:w="1685" w:type="dxa"/>
            <w:gridSpan w:val="2"/>
            <w:tcBorders/>
            <w:tcMar>
              <w:start w:w="108" w:type="dxa"/>
              <w:end w:w="108" w:type="dxa"/>
            </w:tcMar>
          </w:tcPr>
          <w:p>
            <w:pPr>
              <w:pStyle w:val="Normal"/>
              <w:keepNext w:val="true"/>
              <w:numPr>
                <w:ilvl w:val="0"/>
                <w:numId w:val="0"/>
              </w:numPr>
              <w:spacing w:before="120" w:after="0"/>
              <w:ind w:end="121"/>
              <w:outlineLvl w:val="0"/>
              <w:rPr>
                <w:sz w:val="20"/>
              </w:rPr>
            </w:pPr>
            <w:r>
              <w:rPr>
                <w:sz w:val="20"/>
              </w:rPr>
              <w:t>Past and Present</w:t>
            </w:r>
          </w:p>
        </w:tc>
        <w:tc>
          <w:tcPr>
            <w:tcW w:w="9000" w:type="dxa"/>
            <w:gridSpan w:val="5"/>
            <w:tcBorders/>
            <w:tcMar>
              <w:start w:w="108" w:type="dxa"/>
              <w:end w:w="108" w:type="dxa"/>
            </w:tcMar>
          </w:tcPr>
          <w:p>
            <w:pPr>
              <w:pStyle w:val="Normal"/>
              <w:tabs>
                <w:tab w:val="clear" w:pos="720"/>
                <w:tab w:val="left" w:pos="8911" w:leader="none"/>
              </w:tabs>
              <w:spacing w:before="0" w:after="120"/>
              <w:ind w:end="57"/>
              <w:rPr/>
            </w:pPr>
            <w:r>
              <w:rPr>
                <w:color w:val="000000"/>
                <w:sz w:val="22"/>
              </w:rPr>
              <w:t xml:space="preserve">Have served Los Angeles community as:  Co-Chair of the California Citizens Budget Commission </w:t>
            </w:r>
            <w:r>
              <w:rPr>
                <w:rFonts w:eastAsia="Symbol" w:cs="Symbol" w:ascii="Symbol" w:hAnsi="Symbol"/>
                <w:color w:val="000000"/>
                <w:sz w:val="22"/>
              </w:rPr>
              <w:sym w:font="Symbol" w:char="f0b7"/>
            </w:r>
            <w:r>
              <w:rPr>
                <w:color w:val="000000"/>
                <w:sz w:val="22"/>
              </w:rPr>
              <w:t xml:space="preserve"> Board President of Moving Arts Theatre </w:t>
            </w:r>
            <w:r>
              <w:rPr>
                <w:rFonts w:eastAsia="Symbol" w:cs="Symbol" w:ascii="Symbol" w:hAnsi="Symbol"/>
                <w:color w:val="000000"/>
                <w:sz w:val="22"/>
              </w:rPr>
              <w:sym w:font="Symbol" w:char="f0b7"/>
            </w:r>
            <w:r>
              <w:rPr>
                <w:color w:val="000000"/>
                <w:sz w:val="22"/>
              </w:rPr>
              <w:t xml:space="preserve"> Trustee of Scripps College </w:t>
            </w:r>
            <w:r>
              <w:rPr>
                <w:rFonts w:eastAsia="Symbol" w:cs="Symbol" w:ascii="Symbol" w:hAnsi="Symbol"/>
                <w:color w:val="000000"/>
                <w:sz w:val="22"/>
              </w:rPr>
              <w:sym w:font="Symbol" w:char="f0b7"/>
            </w:r>
            <w:r>
              <w:rPr>
                <w:color w:val="000000"/>
                <w:sz w:val="22"/>
              </w:rPr>
              <w:t xml:space="preserve"> Board member of California Budget Project </w:t>
            </w:r>
            <w:r>
              <w:rPr>
                <w:rFonts w:eastAsia="Symbol" w:cs="Symbol" w:ascii="Symbol" w:hAnsi="Symbol"/>
                <w:color w:val="000000"/>
                <w:sz w:val="22"/>
              </w:rPr>
              <w:sym w:font="Symbol" w:char="f0b7"/>
            </w:r>
            <w:r>
              <w:rPr>
                <w:color w:val="000000"/>
                <w:sz w:val="22"/>
              </w:rPr>
              <w:t xml:space="preserve"> Member of State </w:t>
            </w:r>
            <w:r>
              <w:rPr>
                <w:sz w:val="22"/>
              </w:rPr>
              <w:t xml:space="preserve">Assembly Speaker Villaraigosa’s Commission on State and Local Government Finance </w:t>
            </w:r>
            <w:r>
              <w:rPr>
                <w:rFonts w:eastAsia="Symbol" w:cs="Symbol" w:ascii="Symbol" w:hAnsi="Symbol"/>
                <w:sz w:val="22"/>
              </w:rPr>
              <w:sym w:font="Symbol" w:char="f0b7"/>
            </w:r>
            <w:r>
              <w:rPr>
                <w:color w:val="000000"/>
                <w:sz w:val="22"/>
              </w:rPr>
              <w:t xml:space="preserve"> Mayor Riordan’s Progress LA advisory council </w:t>
            </w:r>
            <w:r>
              <w:rPr>
                <w:rFonts w:eastAsia="Symbol" w:cs="Symbol" w:ascii="Symbol" w:hAnsi="Symbol"/>
                <w:color w:val="000000"/>
                <w:sz w:val="22"/>
              </w:rPr>
              <w:sym w:font="Symbol" w:char="f0b7"/>
            </w:r>
            <w:r>
              <w:rPr>
                <w:color w:val="000000"/>
                <w:sz w:val="22"/>
              </w:rPr>
              <w:t xml:space="preserve"> Mayor Bradley’s Finance Task Force.</w:t>
            </w:r>
          </w:p>
        </w:tc>
      </w:tr>
    </w:tbl>
    <w:p>
      <w:pPr>
        <w:pStyle w:val="Normal"/>
        <w:spacing w:lineRule="exact" w:line="120"/>
        <w:ind w:end="540"/>
        <w:rPr/>
      </w:pPr>
      <w:r>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paragraph" w:styleId="Heading2">
    <w:name w:val="heading 2"/>
    <w:basedOn w:val="Normal"/>
    <w:next w:val="Normal"/>
    <w:qFormat/>
    <w:pPr>
      <w:keepNext w:val="true"/>
      <w:numPr>
        <w:ilvl w:val="1"/>
        <w:numId w:val="1"/>
      </w:numPr>
      <w:spacing w:before="120" w:after="120"/>
      <w:outlineLvl w:val="1"/>
    </w:pPr>
    <w:rPr>
      <w:b/>
    </w:rPr>
  </w:style>
  <w:style w:type="paragraph" w:styleId="Heading3">
    <w:name w:val="heading 3"/>
    <w:basedOn w:val="Normal"/>
    <w:next w:val="Normal"/>
    <w:qFormat/>
    <w:pPr>
      <w:keepNext w:val="true"/>
      <w:numPr>
        <w:ilvl w:val="2"/>
        <w:numId w:val="1"/>
      </w:numPr>
      <w:spacing w:before="120" w:after="0"/>
      <w:ind w:hanging="0" w:start="0" w:end="540"/>
      <w:outlineLvl w:val="2"/>
    </w:pPr>
    <w:rPr>
      <w:b/>
      <w:bCs/>
    </w:rPr>
  </w:style>
  <w:style w:type="paragraph" w:styleId="Heading4">
    <w:name w:val="heading 4"/>
    <w:basedOn w:val="Normal"/>
    <w:next w:val="Normal"/>
    <w:qFormat/>
    <w:pPr>
      <w:keepNext w:val="true"/>
      <w:numPr>
        <w:ilvl w:val="3"/>
        <w:numId w:val="1"/>
      </w:numPr>
      <w:spacing w:before="60" w:after="60"/>
      <w:ind w:hanging="0" w:start="0" w:end="121"/>
      <w:outlineLvl w:val="3"/>
    </w:pPr>
    <w:rPr>
      <w:b/>
      <w:bCs/>
    </w:rPr>
  </w:style>
  <w:style w:type="paragraph" w:styleId="Heading5">
    <w:name w:val="heading 5"/>
    <w:basedOn w:val="Normal"/>
    <w:next w:val="Normal"/>
    <w:qFormat/>
    <w:pPr>
      <w:keepNext w:val="true"/>
      <w:numPr>
        <w:ilvl w:val="4"/>
        <w:numId w:val="1"/>
      </w:numPr>
      <w:spacing w:before="0" w:after="120"/>
      <w:ind w:hanging="0" w:start="0" w:end="540"/>
      <w:outlineLvl w:val="4"/>
    </w:pPr>
    <w:rPr>
      <w:b/>
      <w:smallCaps/>
      <w:color w:val="000080"/>
      <w:sz w:val="22"/>
    </w:rPr>
  </w:style>
  <w:style w:type="paragraph" w:styleId="Heading6">
    <w:name w:val="heading 6"/>
    <w:basedOn w:val="Normal"/>
    <w:next w:val="Normal"/>
    <w:qFormat/>
    <w:pPr>
      <w:keepNext w:val="true"/>
      <w:numPr>
        <w:ilvl w:val="5"/>
        <w:numId w:val="1"/>
      </w:numPr>
      <w:spacing w:before="120" w:after="120"/>
      <w:ind w:hanging="0" w:start="0" w:end="540"/>
      <w:outlineLvl w:val="5"/>
    </w:pPr>
    <w:rPr>
      <w:b/>
      <w:bCs/>
      <w:smallCaps/>
      <w:color w:val="000080"/>
    </w:rPr>
  </w:style>
  <w:style w:type="paragraph" w:styleId="Heading7">
    <w:name w:val="heading 7"/>
    <w:basedOn w:val="Normal"/>
    <w:next w:val="Normal"/>
    <w:qFormat/>
    <w:pPr>
      <w:keepNext w:val="true"/>
      <w:numPr>
        <w:ilvl w:val="6"/>
        <w:numId w:val="1"/>
      </w:numPr>
      <w:spacing w:before="120" w:after="120"/>
      <w:outlineLvl w:val="6"/>
    </w:pPr>
    <w:rPr>
      <w:b/>
      <w:smallCaps/>
      <w:color w:val="00008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sz w:val="16"/>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160" w:leader="none"/>
        <w:tab w:val="right" w:pos="10080" w:leader="none"/>
      </w:tabs>
      <w:spacing w:lineRule="auto" w:line="264" w:before="120" w:after="240"/>
      <w:ind w:hanging="2160" w:start="2160" w:end="0"/>
      <w:jc w:val="both"/>
    </w:pPr>
    <w:rPr>
      <w:sz w:val="22"/>
      <w:szCs w:val="20"/>
    </w:rPr>
  </w:style>
  <w:style w:type="paragraph" w:styleId="BodyText2">
    <w:name w:val="Body Text 2"/>
    <w:basedOn w:val="Normal"/>
    <w:qFormat/>
    <w:pPr>
      <w:spacing w:before="0" w:after="180"/>
      <w:jc w:val="both"/>
    </w:pPr>
    <w:rPr>
      <w:color w:val="8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2001-06-18T11:05:00Z</dcterms:created>
  <dc:creator>Kevin Scott</dc:creator>
  <dc:description/>
  <dc:language>en-CA</dc:language>
  <cp:lastModifiedBy>Kevin Scott</cp:lastModifiedBy>
  <cp:lastPrinted>2001-04-25T14:36:00Z</cp:lastPrinted>
  <dcterms:modified xsi:type="dcterms:W3CDTF">2001-06-18T11:06:00Z</dcterms:modified>
  <cp:revision>3</cp:revision>
  <dc:subject/>
  <dc:title>Kevin Scott</dc:title>
</cp:coreProperties>
</file>