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b w:val="false"/>
          <w:sz w:val="20"/>
          <w:u w:val="none"/>
        </w:rPr>
      </w:pPr>
      <w:bookmarkStart w:id="0" w:name="_1011167196"/>
      <w:bookmarkEnd w:id="0"/>
      <w:r>
        <w:rPr>
          <w:rFonts w:cs="Times New Roman" w:ascii="Times New Roman" w:hAnsi="Times New Roman"/>
          <w:b w:val="false"/>
          <w:sz w:val="20"/>
          <w:u w:val="none"/>
        </w:rPr>
        <w:object w:dxaOrig="2988" w:dyaOrig="78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2.35pt;height:31.4pt" filled="f" o:ole="">
            <v:imagedata r:id="rId3" o:title=""/>
          </v:shape>
          <o:OLEObject Type="Embed" ProgID="" ShapeID="ole_rId2" DrawAspect="Content" ObjectID="_1379110485" r:id="rId2"/>
        </w:object>
      </w:r>
    </w:p>
    <w:p>
      <w:pPr>
        <w:pStyle w:val="Heading"/>
        <w:rPr>
          <w:rFonts w:ascii="Times New Roman" w:hAnsi="Times New Roman" w:cs="Times New Roman"/>
          <w:b w:val="false"/>
          <w:sz w:val="20"/>
          <w:u w:val="none"/>
        </w:rPr>
      </w:pPr>
      <w:r>
        <w:rPr>
          <w:rFonts w:cs="Times New Roman" w:ascii="Times New Roman" w:hAnsi="Times New Roman"/>
          <w:b w:val="false"/>
          <w:sz w:val="20"/>
          <w:u w:val="none"/>
        </w:rPr>
      </w:r>
    </w:p>
    <w:p>
      <w:pPr>
        <w:pStyle w:val="Heading"/>
        <w:rPr>
          <w:rFonts w:ascii="Times New Roman" w:hAnsi="Times New Roman" w:cs="Times New Roman"/>
          <w:b w:val="false"/>
          <w:sz w:val="20"/>
          <w:u w:val="none"/>
        </w:rPr>
      </w:pPr>
      <w:r>
        <w:rPr>
          <w:rFonts w:cs="Times New Roman" w:ascii="Times New Roman" w:hAnsi="Times New Roman"/>
          <w:b w:val="false"/>
          <w:sz w:val="20"/>
          <w:u w:val="none"/>
        </w:rPr>
      </w:r>
    </w:p>
    <w:p>
      <w:pPr>
        <w:pStyle w:val="Subtitle"/>
        <w:rPr>
          <w:rFonts w:ascii="Times New Roman" w:hAnsi="Times New Roman" w:cs="Times New Roman"/>
        </w:rPr>
      </w:pPr>
      <w:r>
        <w:rPr>
          <w:rFonts w:cs="Times New Roman" w:ascii="Times New Roman" w:hAnsi="Times New Roman"/>
        </w:rPr>
        <w:t>JAY H. COOKINGHAM</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rFonts w:ascii="Times New Roman" w:hAnsi="Times New Roman" w:cs="Times New Roman"/>
          <w:u w:val="single"/>
        </w:rPr>
      </w:pPr>
      <w:r>
        <w:rPr>
          <w:rFonts w:cs="Times New Roman"/>
          <w:u w:val="single"/>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
        </w:rPr>
      </w:pPr>
      <w:r>
        <w:rPr>
          <w:u w:val="single"/>
        </w:rPr>
        <w:t>EDUCATION</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
        </w:rPr>
      </w:pPr>
      <w:r>
        <w:rPr>
          <w:b/>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b/>
        </w:rPr>
        <w:t>South Texas College of Law</w:t>
      </w:r>
      <w:r>
        <w:rPr/>
        <w:tab/>
        <w:tab/>
        <w:tab/>
        <w:tab/>
        <w:tab/>
        <w:tab/>
        <w:tab/>
        <w:tab/>
        <w:t>Houston, Texas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tab/>
      </w:r>
      <w:r>
        <w:rPr>
          <w:b/>
        </w:rPr>
        <w:t>J. D.</w:t>
      </w:r>
      <w:r>
        <w:rPr/>
        <w:t xml:space="preserve"> (</w:t>
      </w:r>
      <w:r>
        <w:rPr>
          <w:b/>
          <w:u w:val="single"/>
        </w:rPr>
        <w:t>cum laude</w:t>
      </w:r>
      <w:r>
        <w:rPr/>
        <w:t>) received 8/86</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b/>
        </w:rPr>
        <w:t>State University of New York at Albany</w:t>
      </w:r>
      <w:r>
        <w:rPr/>
        <w:tab/>
        <w:tab/>
        <w:tab/>
        <w:tab/>
        <w:tab/>
        <w:tab/>
        <w:t>Albany, New York</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tab/>
      </w:r>
      <w:r>
        <w:rPr>
          <w:b/>
        </w:rPr>
        <w:t>M. B. A.</w:t>
      </w:r>
      <w:r>
        <w:rPr/>
        <w:t xml:space="preserve"> received 5/77; Concentration in Finance</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b/>
        </w:rPr>
        <w:t>University of Virginia</w:t>
      </w:r>
      <w:r>
        <w:rPr/>
        <w:tab/>
        <w:tab/>
        <w:tab/>
        <w:tab/>
        <w:tab/>
        <w:tab/>
        <w:tab/>
        <w:tab/>
        <w:tab/>
        <w:t>Charlottesville, Va.</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tab/>
      </w:r>
      <w:r>
        <w:rPr>
          <w:b/>
        </w:rPr>
        <w:t>B. A.</w:t>
      </w:r>
      <w:r>
        <w:rPr/>
        <w:t xml:space="preserve"> received 5/75; Major in Chemistry</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u w:val="single"/>
        </w:rPr>
      </w:pPr>
      <w:r>
        <w:rPr>
          <w:u w:val="single"/>
        </w:rPr>
        <w:t>MAJOR ACCOMPLISHMENTS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Drafted and negotiated hundreds of asset sales transactions including pipelines, producing and non-producing reserves, processing plants, and related oil and gas or pipeline property;  Performed buyer’s and seller’s due diligence and title review</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Draft/Negotiate/Review transactions and contract matters for natural gas and oil marketing, transportation, exchange, processing and purchasing; exploration/production transactions (JVs, OAs, service contracts, etc); and general business and commercial matters (marketing, corporate, construction, real estate/leasing, etc)</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t xml:space="preserve">       </w:t>
      </w:r>
      <w:r>
        <w:rPr/>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Represent or advise clients in federal, state and local regulatory issues (most notably FERC, Dept. of Energy, Texas Railroad Commission, etc.)</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Advise clients in land, title and right-of-way matters, including preparation of title opinions or supplements, negotiation of surface damages, drafting documents, and leasing and right-of-way acquisition</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Represent clients in commercial and oil &amp; gas litigation, including contract claims, royalties, torts, and other disputes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 xml:space="preserve">Managed Mobil Oil Corporation's effort to divest its non-core properties, including 2 interstate pipelines, 3 intrastate pipelines, 1 condensate pipeline, various gathering systems, 3 marine bases and other facilities (over $50MM in assets)  </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Responsible for business development on pipelines averaging 300 MMCFD/5 TBD; Supervise the gas control and contracting operations;  Budget and plan for operations with annual expenses over $10MM</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Directed the successful FERC deregulation filings for 2 interstate pipelines; Responsible for Order 636 compliance for interstate pipelines; Supervise the FERC and state compliance effort for 2 interstate and 3 intrastate pipelines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Managed the gas pipeline and internal sales accounts (275 MMCFD); Negotiated settlements under traditional sales contracts with 3 pipelines that netted $1.1MM</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Transportation and exchange experience with all natural gas pipelines in the eastern U.S., including acquisition and management of over 180 MMCFD of firm transport capacity on  pipelines such as Tennessee, Columbia and United, and negotiation of rates and services on interstate and intrastate pipelines transporting an average of 500 MMCFD of gas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Worked with pipelines and distribution companies to put together gas sale/transport packages to compete with alternative fuels; Negotiated connections to wells and various end-use facilities; Lead market planning for gas development project teams; Efficiently utilized nearly $2MM in transportation bank credits over a two year period</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Designed Mobil's natural gas state regulatory agency program directed toward increasing Mobil's marketing opportunities with local distribution companies and end-users; Participated in state regulatory proceedings and worked with state legislative and agency officials in CA, NY, IL and others; Eliminated $0.34/MCF rate adder for California-produced gas; Represented Mobil on Natural Gas Supply Association committee</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Worked with DOE, FERC and U.S. Customs to obtain permission and maintain regulatory compliance for natural gas import/export with Canada and Mexico;  Participated in FERC pipeline rate cases and settlements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Chaired Natural Gas Supply Association task force in attempting to get the FERC and related government agencies to eliminate and/or simplify regulatory requirements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Formulated a contractual claim for $50 MM in underpayments from a pipeline utilizing little-known FERC rules; Obtained authorization for abandonments and spot gas resales in coordination with Mobil's direct gas marketing effort;  Successfully rebutted several FERC pricing audits and requests for up to $11MM in refunds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ind w:hanging="600" w:start="600" w:end="0"/>
        <w:rPr/>
      </w:pPr>
      <w:r>
        <w:rPr/>
        <w:t xml:space="preserve"> </w:t>
      </w:r>
      <w:r>
        <w:rPr/>
        <w:tab/>
        <w:t>Developed an aggressive company stance on percentage depletion allowance and windfall profit tax credits for natural gas that resulted in over $6 MM in savings over two years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
        </w:rPr>
      </w:pPr>
      <w:r>
        <w:rPr>
          <w:u w:val="single"/>
        </w:rPr>
        <w:t>WORK EXPERIENCE</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
        </w:rPr>
      </w:pPr>
      <w:r>
        <w:rPr>
          <w:b/>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
        </w:rPr>
      </w:pPr>
      <w:r>
        <w:rPr>
          <w:b/>
        </w:rPr>
        <w:t xml:space="preserve">Law Offices of Jay H.  Cookingham  </w:t>
      </w:r>
      <w:r>
        <w:rPr/>
        <w:t>2/96-present</w:t>
        <w:tab/>
        <w:tab/>
        <w:tab/>
        <w:tab/>
        <w:t>Houston, Texas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
        </w:rPr>
      </w:pPr>
      <w:r>
        <w:rPr>
          <w:b/>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b/>
        </w:rPr>
        <w:t>Mobil Oil Corporation</w:t>
      </w:r>
      <w:r>
        <w:rPr/>
        <w:t xml:space="preserve"> 1/85-2/96</w:t>
        <w:tab/>
        <w:tab/>
        <w:tab/>
        <w:tab/>
        <w:tab/>
        <w:tab/>
        <w:tab/>
        <w:t xml:space="preserve">Houston, Texas                </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
        </w:rPr>
      </w:pPr>
      <w:r>
        <w:rPr>
          <w:b/>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
        </w:rPr>
      </w:pPr>
      <w:r>
        <w:rPr>
          <w:b/>
        </w:rPr>
        <w:t>The Superior Oil Company</w:t>
        <w:tab/>
      </w:r>
      <w:r>
        <w:rPr/>
        <w:t>10/83-1/85</w:t>
        <w:tab/>
        <w:tab/>
        <w:tab/>
        <w:tab/>
        <w:tab/>
        <w:tab/>
        <w:t>Houston, Texas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b/>
        </w:rPr>
      </w:pPr>
      <w:r>
        <w:rPr>
          <w:b/>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b/>
        </w:rPr>
        <w:t>Michigan Wisconsin Pipe Line Company (ANR)</w:t>
      </w:r>
      <w:r>
        <w:rPr/>
        <w:t xml:space="preserve"> 2/82-10/83</w:t>
        <w:tab/>
        <w:tab/>
        <w:t>Houston, Texas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b/>
        </w:rPr>
        <w:t>Federal Energy Regulatory Commission</w:t>
      </w:r>
      <w:r>
        <w:rPr/>
        <w:tab/>
        <w:t>10/77-2/82</w:t>
        <w:tab/>
        <w:tab/>
        <w:tab/>
        <w:tab/>
        <w:t>Washington, D. C.</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rPr/>
      </w:pPr>
      <w:r>
        <w:rPr/>
      </w:r>
    </w:p>
    <w:p>
      <w:pPr>
        <w:pStyle w:val="Normal"/>
        <w:tabs>
          <w:tab w:val="clear" w:pos="720"/>
          <w:tab w:val="center" w:pos="2790" w:leader="none"/>
        </w:tabs>
        <w:suppressAutoHyphens w:val="true"/>
        <w:ind w:start="-720" w:end="0"/>
        <w:rPr>
          <w:color w:val="000000"/>
        </w:rPr>
      </w:pPr>
      <w:r>
        <w:rPr>
          <w:color w:val="000000"/>
        </w:rPr>
      </w:r>
    </w:p>
    <w:p>
      <w:pPr>
        <w:pStyle w:val="Normal"/>
        <w:numPr>
          <w:ilvl w:val="0"/>
          <w:numId w:val="0"/>
        </w:numPr>
        <w:tabs>
          <w:tab w:val="clear" w:pos="720"/>
          <w:tab w:val="center" w:pos="4680" w:leader="none"/>
        </w:tabs>
        <w:suppressAutoHyphens w:val="true"/>
        <w:outlineLvl w:val="0"/>
        <w:rPr>
          <w:sz w:val="22"/>
        </w:rPr>
      </w:pPr>
      <w:r>
        <w:rPr/>
        <w:tab/>
      </w:r>
    </w:p>
    <w:p>
      <w:pPr>
        <w:pStyle w:val="Heading"/>
        <w:rPr>
          <w:rFonts w:ascii="Times New Roman" w:hAnsi="Times New Roman" w:cs="Times New Roman"/>
          <w:b w:val="false"/>
          <w:sz w:val="22"/>
          <w:u w:val="none"/>
        </w:rPr>
      </w:pPr>
      <w:r>
        <w:rPr>
          <w:rFonts w:cs="Times New Roman" w:ascii="Times New Roman" w:hAnsi="Times New Roman"/>
          <w:b w:val="false"/>
          <w:sz w:val="22"/>
          <w:u w:val="none"/>
        </w:rPr>
      </w:r>
    </w:p>
    <w:sectPr>
      <w:type w:val="nextPage"/>
      <w:pgSz w:w="12240" w:h="15840"/>
      <w:pgMar w:left="1440" w:right="1440" w:gutter="0" w:header="0" w:top="432"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2160" w:start="2160" w:end="0"/>
      <w:jc w:val="center"/>
      <w:outlineLvl w:val="0"/>
    </w:pPr>
    <w:rPr>
      <w:b/>
      <w:bCs/>
      <w:sz w:val="28"/>
    </w:rPr>
  </w:style>
  <w:style w:type="paragraph" w:styleId="Heading2">
    <w:name w:val="heading 2"/>
    <w:basedOn w:val="Normal"/>
    <w:next w:val="Normal"/>
    <w:qFormat/>
    <w:pPr>
      <w:keepNext w:val="true"/>
      <w:numPr>
        <w:ilvl w:val="1"/>
        <w:numId w:val="1"/>
      </w:numPr>
      <w:jc w:val="center"/>
      <w:outlineLvl w:val="1"/>
    </w:pPr>
    <w:rPr>
      <w:rFonts w:ascii="Book Antiqua" w:hAnsi="Book Antiqua" w:cs="Book Antiqua"/>
      <w:b/>
    </w:rPr>
  </w:style>
  <w:style w:type="paragraph" w:styleId="Heading3">
    <w:name w:val="heading 3"/>
    <w:basedOn w:val="Normal"/>
    <w:next w:val="Normal"/>
    <w:qFormat/>
    <w:pPr>
      <w:keepNext w:val="true"/>
      <w:numPr>
        <w:ilvl w:val="2"/>
        <w:numId w:val="1"/>
      </w:numPr>
      <w:jc w:val="center"/>
      <w:outlineLvl w:val="2"/>
    </w:pPr>
    <w:rPr>
      <w:b/>
      <w:sz w:val="28"/>
      <w:lang w:eastAsia="en-US"/>
    </w:rPr>
  </w:style>
  <w:style w:type="paragraph" w:styleId="Heading4">
    <w:name w:val="heading 4"/>
    <w:basedOn w:val="Normal"/>
    <w:next w:val="Normal"/>
    <w:qFormat/>
    <w:pPr>
      <w:keepNext w:val="true"/>
      <w:numPr>
        <w:ilvl w:val="3"/>
        <w:numId w:val="1"/>
      </w:numPr>
      <w:outlineLvl w:val="3"/>
    </w:pPr>
    <w:rPr>
      <w:b/>
      <w:sz w:val="22"/>
      <w:szCs w:val="20"/>
    </w:rPr>
  </w:style>
  <w:style w:type="paragraph" w:styleId="Heading6">
    <w:name w:val="heading 6"/>
    <w:basedOn w:val="Normal"/>
    <w:next w:val="Normal"/>
    <w:qFormat/>
    <w:pPr>
      <w:keepNext w:val="true"/>
      <w:numPr>
        <w:ilvl w:val="5"/>
        <w:numId w:val="1"/>
      </w:numPr>
      <w:outlineLvl w:val="5"/>
    </w:pPr>
    <w:rPr>
      <w:rFonts w:ascii="Arial" w:hAnsi="Arial" w:cs="Arial"/>
      <w:i/>
      <w:smallCaps/>
      <w:emboss/>
      <w:lang w:eastAsia="en-US"/>
    </w:rPr>
  </w:style>
  <w:style w:type="paragraph" w:styleId="Heading7">
    <w:name w:val="heading 7"/>
    <w:basedOn w:val="Normal"/>
    <w:next w:val="Normal"/>
    <w:qFormat/>
    <w:pPr>
      <w:keepNext w:val="true"/>
      <w:numPr>
        <w:ilvl w:val="6"/>
        <w:numId w:val="1"/>
      </w:numPr>
      <w:outlineLvl w:val="6"/>
    </w:pPr>
    <w:rPr>
      <w:rFonts w:ascii="Arial" w:hAnsi="Arial" w:cs="Arial"/>
      <w:i/>
      <w:sz w:val="20"/>
      <w:lang w:eastAsia="en-US"/>
    </w:rPr>
  </w:style>
  <w:style w:type="paragraph" w:styleId="Heading8">
    <w:name w:val="heading 8"/>
    <w:basedOn w:val="Normal"/>
    <w:next w:val="Normal"/>
    <w:qFormat/>
    <w:pPr>
      <w:keepNext w:val="true"/>
      <w:numPr>
        <w:ilvl w:val="7"/>
        <w:numId w:val="1"/>
      </w:numPr>
      <w:outlineLvl w:val="7"/>
    </w:pPr>
    <w:rPr>
      <w:rFonts w:ascii="Arial" w:hAnsi="Arial" w:cs="Arial"/>
      <w:b/>
      <w:i/>
      <w:color w:val="808080"/>
      <w:sz w:val="20"/>
      <w:lang w:eastAsia="en-US"/>
    </w:rPr>
  </w:style>
  <w:style w:type="paragraph" w:styleId="Heading9">
    <w:name w:val="heading 9"/>
    <w:basedOn w:val="Normal"/>
    <w:next w:val="Normal"/>
    <w:qFormat/>
    <w:pPr>
      <w:keepNext w:val="true"/>
      <w:numPr>
        <w:ilvl w:val="8"/>
        <w:numId w:val="1"/>
      </w:numPr>
      <w:outlineLvl w:val="8"/>
    </w:pPr>
    <w:rPr>
      <w:rFonts w:ascii="Arial" w:hAnsi="Arial" w:cs="Arial"/>
      <w:i/>
      <w:sz w:val="20"/>
      <w:lang w:eastAsia="en-US"/>
    </w:rPr>
  </w:style>
  <w:style w:type="character" w:styleId="WW8Num1z0">
    <w:name w:val="WW8Num1z0"/>
    <w:qFormat/>
    <w:rPr>
      <w:rFonts w:ascii="Wingdings" w:hAnsi="Wingdings" w:cs="Wingdings"/>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color w:val="auto"/>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color w:val="auto"/>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color w:val="auto"/>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color w:val="auto"/>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color w:val="auto"/>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Garamond" w:hAnsi="Garamond" w:cs="Garamond"/>
      <w:b/>
      <w:sz w:val="28"/>
      <w:szCs w:val="20"/>
      <w:u w:val="single"/>
    </w:rPr>
  </w:style>
  <w:style w:type="paragraph" w:styleId="BodyText">
    <w:name w:val="Body Text"/>
    <w:basedOn w:val="Normal"/>
    <w:pPr/>
    <w:rPr>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Garamond" w:hAnsi="Garamond" w:cs="Garamond"/>
      <w:b/>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BodyTextIndent">
    <w:name w:val="Body Text Indent"/>
    <w:basedOn w:val="Normal"/>
    <w:pPr>
      <w:jc w:val="center"/>
    </w:pPr>
    <w:rPr>
      <w:rFonts w:ascii="Arial" w:hAnsi="Arial" w:cs="Arial"/>
      <w:sz w:val="2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lang w:eastAsia="en-US"/>
    </w:rPr>
  </w:style>
  <w:style w:type="paragraph" w:styleId="FootnoteText">
    <w:name w:val="footnote text"/>
    <w:basedOn w:val="Normal"/>
    <w:pPr/>
    <w:rPr>
      <w:sz w:val="20"/>
    </w:rPr>
  </w:style>
  <w:style w:type="paragraph" w:styleId="BlockText">
    <w:name w:val="Block Text"/>
    <w:basedOn w:val="Normal"/>
    <w:qFormat/>
    <w:pPr>
      <w:tabs>
        <w:tab w:val="left" w:pos="-720" w:leader="none"/>
        <w:tab w:val="left" w:pos="0" w:leader="none"/>
        <w:tab w:val="left" w:pos="720" w:leader="none"/>
        <w:tab w:val="left" w:pos="1440" w:leader="none"/>
      </w:tabs>
      <w:suppressAutoHyphens w:val="true"/>
      <w:ind w:hanging="2160" w:start="2160" w:end="-900"/>
    </w:pPr>
    <w:rPr>
      <w:sz w:val="20"/>
    </w:rPr>
  </w:style>
  <w:style w:type="paragraph" w:styleId="BodyText2">
    <w:name w:val="Body Text 2"/>
    <w:basedOn w:val="Normal"/>
    <w:qFormat/>
    <w:pPr>
      <w:tabs>
        <w:tab w:val="clear" w:pos="720"/>
        <w:tab w:val="left" w:pos="-720" w:leader="none"/>
      </w:tabs>
      <w:suppressAutoHyphens w:val="true"/>
      <w:ind w:hanging="0" w:start="0" w:end="-1080"/>
    </w:pPr>
    <w:rPr>
      <w:sz w:val="20"/>
    </w:rPr>
  </w:style>
  <w:style w:type="paragraph" w:styleId="BodyText3">
    <w:name w:val="Body Text 3"/>
    <w:basedOn w:val="Normal"/>
    <w:qFormat/>
    <w:pPr>
      <w:tabs>
        <w:tab w:val="clear" w:pos="720"/>
        <w:tab w:val="left" w:pos="-720" w:leader="none"/>
      </w:tabs>
      <w:suppressAutoHyphens w:val="true"/>
      <w:ind w:hanging="0" w:start="0" w:end="-72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2001-09-20T16:09:00Z</dcterms:created>
  <dc:creator>MRRuiz</dc:creator>
  <dc:description/>
  <dc:language>en-CA</dc:language>
  <cp:lastModifiedBy>Terri Stine</cp:lastModifiedBy>
  <cp:lastPrinted>2001-09-20T13:39:00Z</cp:lastPrinted>
  <dcterms:modified xsi:type="dcterms:W3CDTF">2001-09-20T16:09:00Z</dcterms:modified>
  <cp:revision>2</cp:revision>
  <dc:subject/>
  <dc:title>JEREMIAH JAMES TAKAHATA</dc:title>
</cp:coreProperties>
</file>