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bCs/>
          <w:sz w:val="21"/>
        </w:rPr>
      </w:pPr>
      <w:r>
        <w:rPr>
          <w:sz w:val="21"/>
        </w:rPr>
        <w:t>EDUCATION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68"/>
        <w:gridCol w:w="1592"/>
      </w:tblGrid>
      <w:tr>
        <w:trPr/>
        <w:tc>
          <w:tcPr>
            <w:tcW w:w="7768" w:type="dxa"/>
            <w:tcBorders>
              <w:top w:val="single" w:sz="12" w:space="0" w:color="000000"/>
            </w:tcBorders>
          </w:tcPr>
          <w:p>
            <w:pPr>
              <w:pStyle w:val="Heading1"/>
              <w:ind w:hanging="0" w:start="0"/>
              <w:rPr>
                <w:bCs/>
                <w:sz w:val="21"/>
              </w:rPr>
            </w:pPr>
            <w:r>
              <w:rPr>
                <w:bCs/>
                <w:sz w:val="21"/>
              </w:rPr>
              <w:t>William E. Simon Graduate School of Business Administration</w:t>
            </w:r>
          </w:p>
          <w:p>
            <w:pPr>
              <w:pStyle w:val="Normal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University of Rochester</w:t>
            </w:r>
          </w:p>
        </w:tc>
        <w:tc>
          <w:tcPr>
            <w:tcW w:w="1592" w:type="dxa"/>
            <w:tcBorders>
              <w:top w:val="single" w:sz="12" w:space="0" w:color="000000"/>
            </w:tcBorders>
          </w:tcPr>
          <w:p>
            <w:pPr>
              <w:pStyle w:val="Normal"/>
              <w:jc w:val="end"/>
              <w:rPr>
                <w:sz w:val="21"/>
              </w:rPr>
            </w:pPr>
            <w:r>
              <w:rPr>
                <w:sz w:val="21"/>
              </w:rPr>
              <w:t>Rochester, NY</w:t>
            </w:r>
          </w:p>
          <w:p>
            <w:pPr>
              <w:pStyle w:val="Normal"/>
              <w:jc w:val="end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1995-present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</w:rPr>
            </w:pPr>
            <w:r>
              <w:rPr>
                <w:sz w:val="21"/>
              </w:rPr>
              <w:t>Ph.D. candidate (all but dissertation) – Finance major, Accounting minor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</w:rPr>
            </w:pPr>
            <w:r>
              <w:rPr>
                <w:sz w:val="21"/>
              </w:rPr>
              <w:t>MBA – Finance and Accounting concentrations</w:t>
            </w:r>
          </w:p>
        </w:tc>
        <w:tc>
          <w:tcPr>
            <w:tcW w:w="159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June, 2001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</w:rPr>
            </w:pPr>
            <w:r>
              <w:rPr>
                <w:sz w:val="21"/>
              </w:rPr>
              <w:t>M.S. in Applied Economics</w:t>
            </w:r>
          </w:p>
        </w:tc>
        <w:tc>
          <w:tcPr>
            <w:tcW w:w="159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June, 1998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Received full academic scholarship, Olin Fellowship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Represented the PhD program at the 1998 American Accounting Association Doctoral Consortium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ing1"/>
              <w:spacing w:before="200" w:after="0"/>
              <w:ind w:hanging="0" w:start="0"/>
              <w:rPr>
                <w:bCs/>
                <w:sz w:val="21"/>
              </w:rPr>
            </w:pPr>
            <w:r>
              <w:rPr>
                <w:bCs/>
                <w:sz w:val="21"/>
              </w:rPr>
              <w:t>Utah State University</w:t>
            </w:r>
          </w:p>
        </w:tc>
        <w:tc>
          <w:tcPr>
            <w:tcW w:w="1592" w:type="dxa"/>
            <w:tcBorders/>
          </w:tcPr>
          <w:p>
            <w:pPr>
              <w:pStyle w:val="Normal"/>
              <w:spacing w:before="200" w:after="0"/>
              <w:jc w:val="end"/>
              <w:rPr>
                <w:sz w:val="21"/>
              </w:rPr>
            </w:pPr>
            <w:r>
              <w:rPr>
                <w:sz w:val="21"/>
              </w:rPr>
              <w:t>Logan, UT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sz w:val="21"/>
              </w:rPr>
              <w:t>B.S. in Economics with Finance minor (</w:t>
            </w:r>
            <w:r>
              <w:rPr>
                <w:i/>
                <w:iCs/>
                <w:sz w:val="21"/>
              </w:rPr>
              <w:t>Summa cum Laude</w:t>
            </w:r>
            <w:r>
              <w:rPr>
                <w:sz w:val="21"/>
              </w:rPr>
              <w:t>)</w:t>
            </w:r>
          </w:p>
        </w:tc>
        <w:tc>
          <w:tcPr>
            <w:tcW w:w="1592" w:type="dxa"/>
            <w:tcBorders/>
          </w:tcPr>
          <w:p>
            <w:pPr>
              <w:pStyle w:val="Normal"/>
              <w:jc w:val="end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1991-1995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Valedictorian, College of Business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The Wall Street Journal Award – granted to the outstanding senior upon finance faculty recommendation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ind w:hanging="216" w:start="360" w:end="0"/>
              <w:rPr>
                <w:sz w:val="21"/>
              </w:rPr>
            </w:pPr>
            <w:r>
              <w:rPr>
                <w:sz w:val="21"/>
              </w:rPr>
              <w:t>The A-Pin Award for Academic Excellence – earned for maintaining 4.0 GPA for three consecutive quarters while taking at least 15 credit hours each quarter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The Outstanding Student Award in the Intensive English Language Institute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Received merit scholarships starting in sophomore year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Inducted into Phi Kappa Phi and Alpha Lambda Delta Honor Societies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ind w:hanging="216" w:start="360" w:end="0"/>
              <w:rPr>
                <w:sz w:val="21"/>
              </w:rPr>
            </w:pPr>
            <w:r>
              <w:rPr>
                <w:sz w:val="21"/>
              </w:rPr>
              <w:t>Placed first in accounting, economics and finance competitions in 1994 and 1995 Phi Beta Lambda State Leadership Conferences</w:t>
            </w:r>
          </w:p>
        </w:tc>
      </w:tr>
    </w:tbl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Heading3"/>
        <w:ind w:hanging="0" w:start="0"/>
        <w:rPr/>
      </w:pPr>
      <w:r>
        <w:rPr/>
        <w:t>EXPERIENCE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68"/>
        <w:gridCol w:w="1592"/>
      </w:tblGrid>
      <w:tr>
        <w:trPr/>
        <w:tc>
          <w:tcPr>
            <w:tcW w:w="7768" w:type="dxa"/>
            <w:tcBorders>
              <w:top w:val="single" w:sz="12" w:space="0" w:color="000000"/>
            </w:tcBorders>
          </w:tcPr>
          <w:p>
            <w:pPr>
              <w:pStyle w:val="Heading1"/>
              <w:ind w:hanging="0" w:start="0"/>
              <w:rPr>
                <w:bCs/>
                <w:sz w:val="21"/>
              </w:rPr>
            </w:pPr>
            <w:r>
              <w:rPr>
                <w:bCs/>
                <w:sz w:val="21"/>
              </w:rPr>
              <w:t>William E. Simon Graduate School of Business Administration</w:t>
            </w:r>
          </w:p>
          <w:p>
            <w:pPr>
              <w:pStyle w:val="Normal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University of Rochester</w:t>
            </w:r>
          </w:p>
        </w:tc>
        <w:tc>
          <w:tcPr>
            <w:tcW w:w="1592" w:type="dxa"/>
            <w:tcBorders>
              <w:top w:val="single" w:sz="12" w:space="0" w:color="000000"/>
            </w:tcBorders>
          </w:tcPr>
          <w:p>
            <w:pPr>
              <w:pStyle w:val="Normal"/>
              <w:jc w:val="end"/>
              <w:rPr>
                <w:sz w:val="21"/>
              </w:rPr>
            </w:pPr>
            <w:r>
              <w:rPr>
                <w:sz w:val="21"/>
              </w:rPr>
              <w:t>Rochester, NY</w:t>
            </w:r>
          </w:p>
          <w:p>
            <w:pPr>
              <w:pStyle w:val="Normal"/>
              <w:jc w:val="end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1995-present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Wrote empirical research papers meeting standards of a top finance PhD program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ind w:hanging="216" w:start="360" w:end="0"/>
              <w:rPr>
                <w:sz w:val="21"/>
              </w:rPr>
            </w:pPr>
            <w:r>
              <w:rPr>
                <w:sz w:val="21"/>
              </w:rPr>
              <w:t>Topics studied: mutual fund net inflows and past performance, security offerings by closed-end funds, and performance-based fees in the mutual fund industry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rPr>
                <w:sz w:val="21"/>
              </w:rPr>
            </w:pPr>
            <w:r>
              <w:rPr>
                <w:sz w:val="21"/>
              </w:rPr>
              <w:t>Communicated research results to doctoral students and faculty in PhD seminars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</w:rPr>
            </w:pPr>
            <w:r>
              <w:rPr>
                <w:sz w:val="21"/>
              </w:rPr>
              <w:t>Recitation instructor and teaching assistant for MBA and Executive Development programs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360" w:leader="none"/>
              </w:tabs>
              <w:ind w:hanging="216" w:start="360" w:end="0"/>
              <w:rPr>
                <w:sz w:val="21"/>
              </w:rPr>
            </w:pPr>
            <w:r>
              <w:rPr>
                <w:sz w:val="21"/>
              </w:rPr>
              <w:t>Developed in-depth understanding of the following areas: decision analysis under uncertainty, asset valuation and project evaluation, securities offerings, corporate control, and portfolio performance evaluation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60" w:leader="none"/>
              </w:tabs>
              <w:ind w:hanging="216" w:start="360" w:end="0"/>
              <w:rPr>
                <w:sz w:val="21"/>
              </w:rPr>
            </w:pPr>
            <w:r>
              <w:rPr>
                <w:sz w:val="21"/>
              </w:rPr>
              <w:t>Solidified communication and interpersonal skills by conducting regular presentations to review course material and by interacting with students via question/answer sessions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Successfully completed PhD coursework covering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ind w:hanging="216" w:start="360" w:end="0"/>
              <w:rPr>
                <w:sz w:val="21"/>
              </w:rPr>
            </w:pPr>
            <w:r>
              <w:rPr>
                <w:sz w:val="21"/>
              </w:rPr>
              <w:t>Partial equilibrium analysis, game theory, general equilibrium and dynamic programming, empirical asset pricing research, asset valuation in continuous-time, and empirical accounting research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 xml:space="preserve">Lecturer for an MBA course – </w:t>
            </w:r>
            <w:r>
              <w:rPr>
                <w:i/>
                <w:iCs/>
                <w:sz w:val="21"/>
              </w:rPr>
              <w:t>Capital Budgeting and Corporate Objectives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21"/>
              </w:rPr>
              <w:t xml:space="preserve">Refereed for the </w:t>
            </w:r>
            <w:r>
              <w:rPr>
                <w:i/>
                <w:iCs/>
                <w:sz w:val="21"/>
              </w:rPr>
              <w:t>Journal of Financial Economics</w:t>
            </w:r>
            <w:r>
              <w:rPr>
                <w:sz w:val="21"/>
              </w:rPr>
              <w:t xml:space="preserve"> 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ing1"/>
              <w:spacing w:before="200" w:after="0"/>
              <w:ind w:hanging="0" w:start="0"/>
              <w:rPr>
                <w:bCs/>
                <w:sz w:val="21"/>
              </w:rPr>
            </w:pPr>
            <w:r>
              <w:rPr>
                <w:bCs/>
                <w:sz w:val="21"/>
              </w:rPr>
              <w:t>Utah State University</w:t>
            </w:r>
          </w:p>
        </w:tc>
        <w:tc>
          <w:tcPr>
            <w:tcW w:w="1592" w:type="dxa"/>
            <w:tcBorders/>
          </w:tcPr>
          <w:p>
            <w:pPr>
              <w:pStyle w:val="Normal"/>
              <w:spacing w:before="200" w:after="0"/>
              <w:jc w:val="end"/>
              <w:rPr>
                <w:sz w:val="21"/>
              </w:rPr>
            </w:pPr>
            <w:r>
              <w:rPr>
                <w:sz w:val="21"/>
              </w:rPr>
              <w:t>Logan, UT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</w:rPr>
            </w:pPr>
            <w:r>
              <w:rPr>
                <w:sz w:val="21"/>
              </w:rPr>
              <w:t>Recitation instructor for an undergraduate Macroeconomics course</w:t>
            </w:r>
          </w:p>
        </w:tc>
        <w:tc>
          <w:tcPr>
            <w:tcW w:w="1592" w:type="dxa"/>
            <w:tcBorders/>
          </w:tcPr>
          <w:p>
            <w:pPr>
              <w:pStyle w:val="Normal"/>
              <w:jc w:val="end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1995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ing1"/>
              <w:spacing w:before="200" w:after="0"/>
              <w:ind w:hanging="0" w:start="0"/>
              <w:rPr>
                <w:bCs/>
                <w:sz w:val="21"/>
              </w:rPr>
            </w:pPr>
            <w:r>
              <w:rPr>
                <w:bCs/>
                <w:sz w:val="21"/>
              </w:rPr>
              <w:t>Camp Thunderbird – summer employment</w:t>
            </w:r>
          </w:p>
        </w:tc>
        <w:tc>
          <w:tcPr>
            <w:tcW w:w="1592" w:type="dxa"/>
            <w:tcBorders/>
          </w:tcPr>
          <w:p>
            <w:pPr>
              <w:pStyle w:val="Normal"/>
              <w:spacing w:before="200" w:after="0"/>
              <w:jc w:val="end"/>
              <w:rPr>
                <w:sz w:val="21"/>
              </w:rPr>
            </w:pPr>
            <w:r>
              <w:rPr>
                <w:sz w:val="21"/>
              </w:rPr>
              <w:t>Lake Wylie, SC</w:t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</w:rPr>
            </w:pPr>
            <w:r>
              <w:rPr>
                <w:sz w:val="21"/>
              </w:rPr>
              <w:t>Sailing staff supervisor and camp counselor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360" w:leader="none"/>
              </w:tabs>
              <w:ind w:hanging="216" w:start="360" w:end="0"/>
              <w:rPr>
                <w:sz w:val="21"/>
              </w:rPr>
            </w:pPr>
            <w:r>
              <w:rPr>
                <w:sz w:val="21"/>
              </w:rPr>
              <w:t>Managed and evaluated staff of about ten counselors; developed teamwork skills through joint work with staff to ensure successful operation of camp’s sailing program; proposed operational improvements to the sailing program</w:t>
            </w:r>
          </w:p>
        </w:tc>
        <w:tc>
          <w:tcPr>
            <w:tcW w:w="1592" w:type="dxa"/>
            <w:tcBorders/>
          </w:tcPr>
          <w:p>
            <w:pPr>
              <w:pStyle w:val="Normal"/>
              <w:jc w:val="end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1993-1994</w:t>
            </w:r>
          </w:p>
        </w:tc>
      </w:tr>
    </w:tbl>
    <w:p>
      <w:pPr>
        <w:pStyle w:val="Normal"/>
        <w:rPr>
          <w:b/>
          <w:bCs/>
          <w:sz w:val="21"/>
        </w:rPr>
      </w:pPr>
      <w:r>
        <w:rPr>
          <w:b/>
          <w:bCs/>
          <w:sz w:val="21"/>
        </w:rPr>
      </w:r>
    </w:p>
    <w:p>
      <w:pPr>
        <w:pStyle w:val="Normal"/>
        <w:rPr>
          <w:b/>
          <w:bCs/>
          <w:sz w:val="21"/>
        </w:rPr>
      </w:pPr>
      <w:r>
        <w:rPr>
          <w:b/>
          <w:bCs/>
          <w:sz w:val="21"/>
        </w:rPr>
        <w:t>ADDITIONAL INFORMATION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68"/>
        <w:gridCol w:w="1592"/>
      </w:tblGrid>
      <w:tr>
        <w:trPr/>
        <w:tc>
          <w:tcPr>
            <w:tcW w:w="7768" w:type="dxa"/>
            <w:tcBorders>
              <w:top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Computer Skills: </w:t>
            </w:r>
            <w:r>
              <w:rPr>
                <w:sz w:val="21"/>
              </w:rPr>
              <w:t>Microsoft Office; E-Views; SAS</w:t>
            </w:r>
          </w:p>
        </w:tc>
        <w:tc>
          <w:tcPr>
            <w:tcW w:w="1592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</w:r>
          </w:p>
        </w:tc>
      </w:tr>
      <w:tr>
        <w:trPr/>
        <w:tc>
          <w:tcPr>
            <w:tcW w:w="776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1"/>
              </w:rPr>
              <w:t>Languages:</w:t>
            </w:r>
            <w:r>
              <w:rPr>
                <w:sz w:val="21"/>
              </w:rPr>
              <w:t xml:space="preserve"> Fluent in Russian</w:t>
            </w:r>
          </w:p>
        </w:tc>
        <w:tc>
          <w:tcPr>
            <w:tcW w:w="159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776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rPr/>
    </w:pPr>
    <w:r>
      <w:rPr>
        <w:rStyle w:val="PageNumber"/>
        <w:sz w:val="22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9576"/>
    </w:tblGrid>
    <w:tr>
      <w:trPr/>
      <w:tc>
        <w:tcPr>
          <w:tcW w:w="9576" w:type="dxa"/>
          <w:tcBorders/>
        </w:tcPr>
        <w:p>
          <w:pPr>
            <w:pStyle w:val="Heading"/>
            <w:rPr>
              <w:b/>
              <w:bCs/>
              <w:sz w:val="21"/>
            </w:rPr>
          </w:pPr>
          <w:r>
            <w:rPr>
              <w:b/>
              <w:bCs/>
              <w:sz w:val="21"/>
            </w:rPr>
            <w:t>DENIS V. SUVOROV</w:t>
          </w:r>
        </w:p>
      </w:tc>
    </w:tr>
  </w:tbl>
  <w:p>
    <w:pPr>
      <w:pStyle w:val="Heading"/>
      <w:jc w:val="start"/>
      <w:rPr>
        <w:sz w:val="10"/>
      </w:rPr>
    </w:pPr>
    <w:r>
      <w:rPr>
        <w:sz w:val="10"/>
      </w:rPr>
    </w:r>
  </w:p>
  <w:tbl>
    <w:tblPr>
      <w:tblW w:w="5000" w:type="pct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5148"/>
      <w:gridCol w:w="4212"/>
    </w:tblGrid>
    <w:tr>
      <w:trPr/>
      <w:tc>
        <w:tcPr>
          <w:tcW w:w="5148" w:type="dxa"/>
          <w:tcBorders/>
        </w:tcPr>
        <w:p>
          <w:pPr>
            <w:pStyle w:val="Heading"/>
            <w:jc w:val="start"/>
            <w:rPr>
              <w:sz w:val="21"/>
            </w:rPr>
          </w:pPr>
          <w:r>
            <w:rPr>
              <w:sz w:val="21"/>
            </w:rPr>
            <w:t>60 Crittenden Blvd., Apt. 517, Rochester, NY 14620</w:t>
          </w:r>
        </w:p>
      </w:tc>
      <w:tc>
        <w:tcPr>
          <w:tcW w:w="4212" w:type="dxa"/>
          <w:tcBorders/>
        </w:tcPr>
        <w:p>
          <w:pPr>
            <w:pStyle w:val="Heading"/>
            <w:jc w:val="end"/>
            <w:rPr>
              <w:sz w:val="21"/>
            </w:rPr>
          </w:pPr>
          <w:r>
            <w:rPr>
              <w:sz w:val="21"/>
            </w:rPr>
            <w:t>Home: (716) 244-3859</w:t>
          </w:r>
        </w:p>
      </w:tc>
    </w:tr>
    <w:tr>
      <w:trPr/>
      <w:tc>
        <w:tcPr>
          <w:tcW w:w="5148" w:type="dxa"/>
          <w:tcBorders/>
        </w:tcPr>
        <w:p>
          <w:pPr>
            <w:pStyle w:val="Heading"/>
            <w:jc w:val="start"/>
            <w:rPr>
              <w:sz w:val="21"/>
            </w:rPr>
          </w:pPr>
          <w:r>
            <w:rPr>
              <w:sz w:val="21"/>
            </w:rPr>
            <w:t>suvorovde@simon.rochester.edu</w:t>
          </w:r>
        </w:p>
      </w:tc>
      <w:tc>
        <w:tcPr>
          <w:tcW w:w="4212" w:type="dxa"/>
          <w:tcBorders/>
        </w:tcPr>
        <w:p>
          <w:pPr>
            <w:pStyle w:val="Heading"/>
            <w:jc w:val="end"/>
            <w:rPr>
              <w:sz w:val="21"/>
            </w:rPr>
          </w:pPr>
          <w:r>
            <w:rPr>
              <w:sz w:val="21"/>
            </w:rPr>
            <w:t>Office: (716) 275-3702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6"/>
        <w:i w:val="false"/>
        <w:b w:val="false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6"/>
        <w:i w:val="false"/>
        <w:b w:val="false"/>
        <w:color w:val="00000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6"/>
        <w:i w:val="false"/>
        <w:b w:val="false"/>
        <w:color w:val="00000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6"/>
        <w:i w:val="false"/>
        <w:b w:val="false"/>
        <w:color w:val="00000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504"/>
        </w:tabs>
        <w:ind w:start="360" w:hanging="216"/>
      </w:pPr>
      <w:rPr>
        <w:rFonts w:ascii="Symbol" w:hAnsi="Symbol" w:cs="Symbol" w:hint="default"/>
        <w:sz w:val="16"/>
        <w:i w:val="false"/>
        <w:b w:val="false"/>
        <w:color w:val="00000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6"/>
        <w:i w:val="false"/>
        <w:b w:val="false"/>
        <w:color w:val="00000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6"/>
        <w:i w:val="false"/>
        <w:b w:val="false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0"/>
      <w:outlineLvl w:val="1"/>
    </w:pPr>
    <w:rPr>
      <w:bCs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color w:val="000000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00000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  <w:color w:val="000000"/>
      <w:sz w:val="2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Wingdings" w:hAnsi="Wingdings" w:cs="Wingdings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  <w:b w:val="false"/>
      <w:i w:val="false"/>
      <w:color w:val="000000"/>
      <w:sz w:val="16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2001-01-19T14:02:00Z</dcterms:created>
  <dc:creator>Denis Suvorov</dc:creator>
  <dc:description/>
  <dc:language>en-CA</dc:language>
  <cp:lastModifiedBy>Denis Suvorov</cp:lastModifiedBy>
  <cp:lastPrinted>2001-01-19T11:57:00Z</cp:lastPrinted>
  <dcterms:modified xsi:type="dcterms:W3CDTF">2001-03-08T16:14:00Z</dcterms:modified>
  <cp:revision>8</cp:revision>
  <dc:subject/>
  <dc:title>Denis Suvorov</dc:title>
</cp:coreProperties>
</file>