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b w:val="false"/>
          <w:sz w:val="20"/>
          <w:u w:val="none"/>
        </w:rPr>
      </w:pPr>
      <w:bookmarkStart w:id="0" w:name="_1011167196"/>
      <w:bookmarkEnd w:id="0"/>
      <w:r>
        <w:rPr>
          <w:rFonts w:cs="Times New Roman" w:ascii="Times New Roman" w:hAnsi="Times New Roman"/>
          <w:b w:val="false"/>
          <w:sz w:val="20"/>
          <w:u w:val="none"/>
        </w:rPr>
        <w:object w:dxaOrig="2988" w:dyaOrig="78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2.35pt;height:31.4pt" filled="f" o:ole="">
            <v:imagedata r:id="rId3" o:title=""/>
          </v:shape>
          <o:OLEObject Type="Embed" ProgID="" ShapeID="ole_rId2" DrawAspect="Content" ObjectID="_1843940052" r:id="rId2"/>
        </w:object>
      </w:r>
    </w:p>
    <w:p>
      <w:pPr>
        <w:pStyle w:val="Heading"/>
        <w:rPr>
          <w:rFonts w:ascii="Times New Roman" w:hAnsi="Times New Roman" w:cs="Times New Roman"/>
          <w:b w:val="false"/>
          <w:sz w:val="20"/>
          <w:u w:val="none"/>
        </w:rPr>
      </w:pPr>
      <w:r>
        <w:rPr>
          <w:rFonts w:cs="Times New Roman" w:ascii="Times New Roman" w:hAnsi="Times New Roman"/>
          <w:b w:val="false"/>
          <w:sz w:val="20"/>
          <w:u w:val="none"/>
        </w:rPr>
      </w:r>
    </w:p>
    <w:p>
      <w:pPr>
        <w:pStyle w:val="Normal"/>
        <w:ind w:start="-720" w:end="-720"/>
        <w:jc w:val="center"/>
        <w:rPr>
          <w:b/>
        </w:rPr>
      </w:pPr>
      <w:r>
        <w:rPr>
          <w:b/>
        </w:rPr>
        <w:t>AMY WILLIAMS</w:t>
      </w:r>
    </w:p>
    <w:p>
      <w:pPr>
        <w:pStyle w:val="Normal"/>
        <w:ind w:start="-720" w:end="0"/>
        <w:rPr>
          <w:b/>
          <w:sz w:val="22"/>
        </w:rPr>
      </w:pPr>
      <w:r>
        <w:rPr>
          <w:b/>
          <w:sz w:val="22"/>
        </w:rPr>
      </w:r>
    </w:p>
    <w:p>
      <w:pPr>
        <w:pStyle w:val="Heading1"/>
        <w:ind w:hanging="0" w:start="0" w:end="0"/>
        <w:jc w:val="start"/>
        <w:rPr>
          <w:sz w:val="21"/>
          <w:u w:val="single"/>
        </w:rPr>
      </w:pPr>
      <w:r>
        <w:rPr>
          <w:sz w:val="21"/>
          <w:u w:val="single"/>
        </w:rPr>
        <w:t>EDUCATION</w:t>
      </w:r>
    </w:p>
    <w:p>
      <w:pPr>
        <w:pStyle w:val="Normal"/>
        <w:rPr>
          <w:sz w:val="21"/>
        </w:rPr>
      </w:pPr>
      <w:r>
        <w:rPr>
          <w:sz w:val="21"/>
        </w:rPr>
        <w:t>University of Houston</w:t>
        <w:tab/>
        <w:tab/>
        <w:tab/>
        <w:t>J.D., Cum Laude (top 6%)</w:t>
        <w:tab/>
        <w:tab/>
        <w:tab/>
        <w:t>1980</w:t>
      </w:r>
    </w:p>
    <w:p>
      <w:pPr>
        <w:pStyle w:val="Normal"/>
        <w:rPr>
          <w:sz w:val="21"/>
        </w:rPr>
      </w:pPr>
      <w:r>
        <w:rPr>
          <w:sz w:val="21"/>
        </w:rPr>
        <w:t>University of Texas at Austin</w:t>
        <w:tab/>
        <w:tab/>
        <w:t>B.S., Elementary Education</w:t>
        <w:tab/>
        <w:tab/>
        <w:tab/>
        <w:t>1975</w:t>
      </w:r>
    </w:p>
    <w:p>
      <w:pPr>
        <w:pStyle w:val="Normal"/>
        <w:rPr>
          <w:sz w:val="21"/>
        </w:rPr>
      </w:pPr>
      <w:r>
        <w:rPr>
          <w:sz w:val="21"/>
        </w:rPr>
      </w:r>
    </w:p>
    <w:p>
      <w:pPr>
        <w:pStyle w:val="Heading1"/>
        <w:ind w:hanging="0" w:start="0" w:end="0"/>
        <w:jc w:val="start"/>
        <w:rPr>
          <w:sz w:val="21"/>
          <w:u w:val="single"/>
        </w:rPr>
      </w:pPr>
      <w:r>
        <w:rPr>
          <w:sz w:val="21"/>
          <w:u w:val="single"/>
        </w:rPr>
        <w:t>BUSINESS EXPERIENCE</w:t>
      </w:r>
    </w:p>
    <w:p>
      <w:pPr>
        <w:pStyle w:val="Normal"/>
        <w:rPr/>
      </w:pPr>
      <w:r>
        <w:rPr>
          <w:b/>
          <w:sz w:val="21"/>
        </w:rPr>
        <w:t>Attorney at Law</w:t>
      </w:r>
      <w:r>
        <w:rPr>
          <w:sz w:val="21"/>
        </w:rPr>
        <w:tab/>
        <w:tab/>
        <w:tab/>
        <w:tab/>
        <w:tab/>
        <w:tab/>
        <w:tab/>
        <w:t xml:space="preserve">                     </w:t>
        <w:tab/>
        <w:t>1996-present</w:t>
      </w:r>
    </w:p>
    <w:p>
      <w:pPr>
        <w:pStyle w:val="BodyTextIndent"/>
        <w:jc w:val="both"/>
        <w:rPr>
          <w:rFonts w:ascii="Times New Roman" w:hAnsi="Times New Roman" w:cs="Times New Roman"/>
          <w:sz w:val="21"/>
        </w:rPr>
      </w:pPr>
      <w:r>
        <w:rPr>
          <w:rFonts w:cs="Times New Roman" w:ascii="Times New Roman" w:hAnsi="Times New Roman"/>
          <w:sz w:val="21"/>
        </w:rPr>
        <w:t>General business law practice and contract assignments including a long term contract  position with the Corporate and Tax sections of Gardere Wynne Sewell &amp; Riggs, handling corporate reorganizations, mergers, acquisitions, and general corporate matters.</w:t>
      </w:r>
    </w:p>
    <w:p>
      <w:pPr>
        <w:pStyle w:val="Normal"/>
        <w:rPr>
          <w:rFonts w:ascii="Times New Roman" w:hAnsi="Times New Roman" w:cs="Times New Roman"/>
          <w:sz w:val="21"/>
        </w:rPr>
      </w:pPr>
      <w:r>
        <w:rPr>
          <w:rFonts w:cs="Times New Roman"/>
          <w:sz w:val="21"/>
        </w:rPr>
      </w:r>
    </w:p>
    <w:p>
      <w:pPr>
        <w:pStyle w:val="Normal"/>
        <w:rPr/>
      </w:pPr>
      <w:r>
        <w:rPr>
          <w:b/>
          <w:sz w:val="21"/>
        </w:rPr>
        <w:t>HydroChem Industrial Services, Inc.</w:t>
      </w:r>
      <w:r>
        <w:rPr>
          <w:sz w:val="21"/>
        </w:rPr>
        <w:tab/>
        <w:tab/>
        <w:tab/>
        <w:tab/>
        <w:tab/>
        <w:t xml:space="preserve">               </w:t>
        <w:tab/>
        <w:t>1994-1995</w:t>
      </w:r>
    </w:p>
    <w:p>
      <w:pPr>
        <w:pStyle w:val="BodyTextIndent"/>
        <w:jc w:val="both"/>
        <w:rPr>
          <w:rFonts w:ascii="Times New Roman" w:hAnsi="Times New Roman" w:cs="Times New Roman"/>
          <w:sz w:val="21"/>
        </w:rPr>
      </w:pPr>
      <w:r>
        <w:rPr>
          <w:rFonts w:cs="Times New Roman" w:ascii="Times New Roman" w:hAnsi="Times New Roman"/>
          <w:sz w:val="21"/>
        </w:rPr>
        <w:t xml:space="preserve">In-house counsel general business practice for hydroblasting and chemical cleaning company providing services to the refinery, petrochemical, and utility industries.  Responsibilities included extensive negotiation and drafting of various business agreements including customer  sales and service contracts, purchase agreements for equipment, materials and supplies, joint ventures, confidentiality agreements, non-compete agreements and other general corporate matters.  </w:t>
      </w:r>
    </w:p>
    <w:p>
      <w:pPr>
        <w:pStyle w:val="Normal"/>
        <w:rPr>
          <w:rFonts w:ascii="Times New Roman" w:hAnsi="Times New Roman" w:cs="Times New Roman"/>
          <w:sz w:val="21"/>
        </w:rPr>
      </w:pPr>
      <w:r>
        <w:rPr>
          <w:rFonts w:cs="Times New Roman"/>
          <w:sz w:val="21"/>
        </w:rPr>
      </w:r>
    </w:p>
    <w:p>
      <w:pPr>
        <w:pStyle w:val="Normal"/>
        <w:rPr/>
      </w:pPr>
      <w:r>
        <w:rPr>
          <w:b/>
          <w:sz w:val="21"/>
        </w:rPr>
        <w:t>General Electric Credit Corporation</w:t>
      </w:r>
      <w:r>
        <w:rPr>
          <w:sz w:val="21"/>
        </w:rPr>
        <w:tab/>
        <w:tab/>
        <w:tab/>
        <w:tab/>
        <w:t xml:space="preserve">                         </w:t>
        <w:tab/>
        <w:tab/>
        <w:t>1993-1994</w:t>
      </w:r>
    </w:p>
    <w:p>
      <w:pPr>
        <w:pStyle w:val="BodyTextIndent"/>
        <w:jc w:val="both"/>
        <w:rPr>
          <w:rFonts w:ascii="Times New Roman" w:hAnsi="Times New Roman" w:cs="Times New Roman"/>
          <w:sz w:val="21"/>
        </w:rPr>
      </w:pPr>
      <w:r>
        <w:rPr>
          <w:rFonts w:cs="Times New Roman" w:ascii="Times New Roman" w:hAnsi="Times New Roman"/>
          <w:sz w:val="21"/>
        </w:rPr>
        <w:t>Contract attorney for commercial and residential mortgage servicing and asset management operations.   Responsibilities included due diligence, litigation manage-ment of defaulted loans, regulatory compliance, and special projects.</w:t>
      </w:r>
    </w:p>
    <w:p>
      <w:pPr>
        <w:pStyle w:val="Normal"/>
        <w:rPr>
          <w:rFonts w:ascii="Times New Roman" w:hAnsi="Times New Roman" w:cs="Times New Roman"/>
          <w:sz w:val="21"/>
        </w:rPr>
      </w:pPr>
      <w:r>
        <w:rPr>
          <w:rFonts w:cs="Times New Roman"/>
          <w:sz w:val="21"/>
        </w:rPr>
      </w:r>
    </w:p>
    <w:p>
      <w:pPr>
        <w:pStyle w:val="Normal"/>
        <w:rPr/>
      </w:pPr>
      <w:r>
        <w:rPr>
          <w:b/>
          <w:sz w:val="21"/>
        </w:rPr>
        <w:t>Baker Hughes Incorporated</w:t>
      </w:r>
      <w:r>
        <w:rPr>
          <w:sz w:val="21"/>
        </w:rPr>
        <w:tab/>
        <w:tab/>
        <w:tab/>
        <w:tab/>
        <w:tab/>
        <w:tab/>
        <w:t xml:space="preserve">               </w:t>
        <w:tab/>
        <w:t>1988-1992</w:t>
      </w:r>
    </w:p>
    <w:p>
      <w:pPr>
        <w:pStyle w:val="BodyTextIndent"/>
        <w:jc w:val="both"/>
        <w:rPr>
          <w:rFonts w:ascii="Times New Roman" w:hAnsi="Times New Roman" w:cs="Times New Roman"/>
          <w:sz w:val="21"/>
        </w:rPr>
      </w:pPr>
      <w:r>
        <w:rPr>
          <w:rFonts w:cs="Times New Roman" w:ascii="Times New Roman" w:hAnsi="Times New Roman"/>
          <w:sz w:val="21"/>
        </w:rPr>
        <w:t>General Counsel for Baker Hughes Process Technologies operating group.  Responsible for legal affairs of eight manufacturing and service companies in the liquid/solid separation, pump, and instrumentation industries. Broad-based international commercial practice including negotiation and documentation of a variety of business agreements; acquisitions and dispositions; regulatory investigations; compliance programs; product recalls; and litigation management.  Position was eliminated when the operating group was restructured.</w:t>
      </w:r>
    </w:p>
    <w:p>
      <w:pPr>
        <w:pStyle w:val="BodyTextIndent"/>
        <w:jc w:val="start"/>
        <w:rPr>
          <w:rFonts w:ascii="Times New Roman" w:hAnsi="Times New Roman" w:cs="Times New Roman"/>
          <w:sz w:val="21"/>
        </w:rPr>
      </w:pPr>
      <w:r>
        <w:rPr>
          <w:rFonts w:cs="Times New Roman" w:ascii="Times New Roman" w:hAnsi="Times New Roman"/>
          <w:sz w:val="21"/>
        </w:rPr>
      </w:r>
    </w:p>
    <w:p>
      <w:pPr>
        <w:pStyle w:val="BodyTextIndent"/>
        <w:jc w:val="both"/>
        <w:rPr>
          <w:rFonts w:ascii="Times New Roman" w:hAnsi="Times New Roman" w:cs="Times New Roman"/>
          <w:sz w:val="21"/>
        </w:rPr>
      </w:pPr>
      <w:r>
        <w:rPr>
          <w:rFonts w:cs="Times New Roman" w:ascii="Times New Roman" w:hAnsi="Times New Roman"/>
          <w:sz w:val="21"/>
        </w:rPr>
        <w:t>Senior Attorney, Corporate Law Department of publicly held, multi-national manufacturing and service company.  Worked with corporate treasury, tax, accounting and human resource departments handling general corporate and corporate secretary matters.</w:t>
      </w:r>
    </w:p>
    <w:p>
      <w:pPr>
        <w:pStyle w:val="Normal"/>
        <w:jc w:val="both"/>
        <w:rPr>
          <w:rFonts w:ascii="Times New Roman" w:hAnsi="Times New Roman" w:cs="Times New Roman"/>
          <w:sz w:val="21"/>
        </w:rPr>
      </w:pPr>
      <w:r>
        <w:rPr>
          <w:rFonts w:cs="Times New Roman"/>
          <w:sz w:val="21"/>
        </w:rPr>
      </w:r>
    </w:p>
    <w:p>
      <w:pPr>
        <w:pStyle w:val="Normal"/>
        <w:rPr/>
      </w:pPr>
      <w:r>
        <w:rPr>
          <w:b/>
          <w:sz w:val="21"/>
        </w:rPr>
        <w:t>The Coastal Corporation</w:t>
        <w:tab/>
      </w:r>
      <w:r>
        <w:rPr>
          <w:sz w:val="21"/>
        </w:rPr>
        <w:tab/>
        <w:tab/>
        <w:tab/>
        <w:tab/>
        <w:tab/>
        <w:tab/>
        <w:t xml:space="preserve">           </w:t>
        <w:tab/>
        <w:t>1986-1988</w:t>
      </w:r>
    </w:p>
    <w:p>
      <w:pPr>
        <w:pStyle w:val="BodyTextIndent"/>
        <w:jc w:val="both"/>
        <w:rPr>
          <w:rFonts w:ascii="Times New Roman" w:hAnsi="Times New Roman" w:cs="Times New Roman"/>
          <w:sz w:val="21"/>
        </w:rPr>
      </w:pPr>
      <w:r>
        <w:rPr>
          <w:rFonts w:cs="Times New Roman" w:ascii="Times New Roman" w:hAnsi="Times New Roman"/>
          <w:sz w:val="21"/>
        </w:rPr>
        <w:t>Senior Attorney, Corporate Law Department of publicly held, diversified energy company.  General corporate and finance matters including listing common stock on The Stock Exchange in London; establishing domestic captive insurance company; acquisitions and dispositions; routine S.E.C. reports; N.Y.S.E. compliance; regulatory investigations; and real estate matters.</w:t>
      </w:r>
    </w:p>
    <w:p>
      <w:pPr>
        <w:pStyle w:val="Normal"/>
        <w:rPr>
          <w:rFonts w:ascii="Times New Roman" w:hAnsi="Times New Roman" w:cs="Times New Roman"/>
          <w:sz w:val="21"/>
        </w:rPr>
      </w:pPr>
      <w:r>
        <w:rPr>
          <w:rFonts w:cs="Times New Roman"/>
          <w:sz w:val="21"/>
        </w:rPr>
      </w:r>
    </w:p>
    <w:p>
      <w:pPr>
        <w:pStyle w:val="Normal"/>
        <w:rPr/>
      </w:pPr>
      <w:r>
        <w:rPr>
          <w:b/>
          <w:sz w:val="21"/>
        </w:rPr>
        <w:t>GATX Leasing Corporation</w:t>
      </w:r>
      <w:r>
        <w:rPr>
          <w:sz w:val="21"/>
        </w:rPr>
        <w:tab/>
        <w:t xml:space="preserve">                        </w:t>
        <w:tab/>
        <w:tab/>
        <w:tab/>
        <w:tab/>
        <w:t xml:space="preserve">    </w:t>
        <w:tab/>
        <w:tab/>
        <w:t>1983-1986</w:t>
      </w:r>
    </w:p>
    <w:p>
      <w:pPr>
        <w:pStyle w:val="BodyTextIndent"/>
        <w:jc w:val="both"/>
        <w:rPr>
          <w:rFonts w:ascii="Times New Roman" w:hAnsi="Times New Roman" w:cs="Times New Roman"/>
          <w:sz w:val="21"/>
        </w:rPr>
      </w:pPr>
      <w:r>
        <w:rPr>
          <w:rFonts w:cs="Times New Roman" w:ascii="Times New Roman" w:hAnsi="Times New Roman"/>
          <w:sz w:val="21"/>
        </w:rPr>
        <w:t>Regional Counsel for publicly held company providing capital equipment financing to the energy and offshore marine industries.  Structured, negotiated and documented commercial capital equipment lease and loan financings and workouts; creditor bankruptcy representation; and litigation management.  Position was eliminated when the regional offices were closed.</w:t>
      </w:r>
    </w:p>
    <w:p>
      <w:pPr>
        <w:pStyle w:val="Normal"/>
        <w:rPr>
          <w:rFonts w:ascii="Times New Roman" w:hAnsi="Times New Roman" w:cs="Times New Roman"/>
          <w:sz w:val="21"/>
        </w:rPr>
      </w:pPr>
      <w:r>
        <w:rPr>
          <w:rFonts w:cs="Times New Roman"/>
          <w:sz w:val="21"/>
        </w:rPr>
      </w:r>
    </w:p>
    <w:p>
      <w:pPr>
        <w:pStyle w:val="Normal"/>
        <w:rPr/>
      </w:pPr>
      <w:r>
        <w:rPr>
          <w:b/>
          <w:sz w:val="21"/>
        </w:rPr>
        <w:t>Hutcheson &amp; Grundy</w:t>
      </w:r>
      <w:r>
        <w:rPr>
          <w:sz w:val="21"/>
        </w:rPr>
        <w:tab/>
        <w:tab/>
        <w:tab/>
        <w:tab/>
        <w:t xml:space="preserve">              </w:t>
        <w:tab/>
        <w:tab/>
        <w:tab/>
        <w:t xml:space="preserve">    </w:t>
        <w:tab/>
        <w:t>1980-1983</w:t>
      </w:r>
    </w:p>
    <w:p>
      <w:pPr>
        <w:pStyle w:val="Normal"/>
        <w:rPr>
          <w:sz w:val="21"/>
        </w:rPr>
      </w:pPr>
      <w:r>
        <w:rPr>
          <w:sz w:val="21"/>
        </w:rPr>
        <w:t>Associate with general business practice focusing on real estate, banking, and creditors’ rights.</w:t>
      </w:r>
    </w:p>
    <w:p>
      <w:pPr>
        <w:pStyle w:val="Normal"/>
        <w:rPr>
          <w:b/>
          <w:sz w:val="21"/>
        </w:rPr>
      </w:pPr>
      <w:r>
        <w:rPr>
          <w:b/>
          <w:sz w:val="21"/>
        </w:rPr>
      </w:r>
    </w:p>
    <w:p>
      <w:pPr>
        <w:pStyle w:val="Heading5"/>
        <w:ind w:hanging="0" w:start="0"/>
        <w:rPr/>
      </w:pPr>
      <w:r>
        <w:rPr/>
        <w:t>CIVIC AFFILIATIONS</w:t>
      </w:r>
    </w:p>
    <w:p>
      <w:pPr>
        <w:pStyle w:val="Normal"/>
        <w:rPr>
          <w:sz w:val="21"/>
        </w:rPr>
      </w:pPr>
      <w:r>
        <w:rPr>
          <w:sz w:val="21"/>
        </w:rPr>
        <w:t>Board Member, Briargrove Elementary School PTO</w:t>
      </w:r>
    </w:p>
    <w:p>
      <w:pPr>
        <w:pStyle w:val="Normal"/>
        <w:rPr>
          <w:sz w:val="21"/>
        </w:rPr>
      </w:pPr>
      <w:r>
        <w:rPr>
          <w:sz w:val="21"/>
        </w:rPr>
        <w:t>Board Member, Briargrove Swim Team</w:t>
      </w:r>
    </w:p>
    <w:p>
      <w:pPr>
        <w:pStyle w:val="Normal"/>
        <w:rPr>
          <w:sz w:val="21"/>
        </w:rPr>
      </w:pPr>
      <w:r>
        <w:rPr>
          <w:sz w:val="21"/>
        </w:rPr>
        <w:t>Board Member, Briargrove Homeowners’ Association</w:t>
      </w:r>
    </w:p>
    <w:sectPr>
      <w:type w:val="nextPage"/>
      <w:pgSz w:w="12240" w:h="15840"/>
      <w:pgMar w:left="1440" w:right="1440" w:gutter="0" w:header="0" w:top="432"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rFonts w:ascii="Book Antiqua" w:hAnsi="Book Antiqua" w:cs="Book Antiqua"/>
      <w:b/>
    </w:rPr>
  </w:style>
  <w:style w:type="paragraph" w:styleId="Heading3">
    <w:name w:val="heading 3"/>
    <w:basedOn w:val="Normal"/>
    <w:next w:val="Normal"/>
    <w:qFormat/>
    <w:pPr>
      <w:keepNext w:val="true"/>
      <w:numPr>
        <w:ilvl w:val="2"/>
        <w:numId w:val="1"/>
      </w:numPr>
      <w:jc w:val="center"/>
      <w:outlineLvl w:val="2"/>
    </w:pPr>
    <w:rPr>
      <w:b/>
      <w:sz w:val="28"/>
      <w:lang w:eastAsia="en-US"/>
    </w:rPr>
  </w:style>
  <w:style w:type="paragraph" w:styleId="Heading4">
    <w:name w:val="heading 4"/>
    <w:basedOn w:val="Normal"/>
    <w:next w:val="Normal"/>
    <w:qFormat/>
    <w:pPr>
      <w:keepNext w:val="true"/>
      <w:numPr>
        <w:ilvl w:val="3"/>
        <w:numId w:val="1"/>
      </w:numPr>
      <w:outlineLvl w:val="3"/>
    </w:pPr>
    <w:rPr>
      <w:b/>
      <w:sz w:val="22"/>
      <w:szCs w:val="20"/>
    </w:rPr>
  </w:style>
  <w:style w:type="paragraph" w:styleId="Heading5">
    <w:name w:val="heading 5"/>
    <w:basedOn w:val="Normal"/>
    <w:next w:val="Normal"/>
    <w:qFormat/>
    <w:pPr>
      <w:keepNext w:val="true"/>
      <w:numPr>
        <w:ilvl w:val="4"/>
        <w:numId w:val="1"/>
      </w:numPr>
      <w:outlineLvl w:val="4"/>
    </w:pPr>
    <w:rPr>
      <w:b/>
      <w:sz w:val="21"/>
      <w:u w:val="single"/>
    </w:rPr>
  </w:style>
  <w:style w:type="paragraph" w:styleId="Heading6">
    <w:name w:val="heading 6"/>
    <w:basedOn w:val="Normal"/>
    <w:next w:val="Normal"/>
    <w:qFormat/>
    <w:pPr>
      <w:keepNext w:val="true"/>
      <w:numPr>
        <w:ilvl w:val="5"/>
        <w:numId w:val="1"/>
      </w:numPr>
      <w:outlineLvl w:val="5"/>
    </w:pPr>
    <w:rPr>
      <w:rFonts w:ascii="Arial" w:hAnsi="Arial" w:cs="Arial"/>
      <w:i/>
      <w:smallCaps/>
      <w:emboss/>
      <w:lang w:eastAsia="en-US"/>
    </w:rPr>
  </w:style>
  <w:style w:type="paragraph" w:styleId="Heading7">
    <w:name w:val="heading 7"/>
    <w:basedOn w:val="Normal"/>
    <w:next w:val="Normal"/>
    <w:qFormat/>
    <w:pPr>
      <w:keepNext w:val="true"/>
      <w:numPr>
        <w:ilvl w:val="6"/>
        <w:numId w:val="1"/>
      </w:numPr>
      <w:outlineLvl w:val="6"/>
    </w:pPr>
    <w:rPr>
      <w:rFonts w:ascii="Arial" w:hAnsi="Arial" w:cs="Arial"/>
      <w:i/>
      <w:sz w:val="20"/>
      <w:lang w:eastAsia="en-US"/>
    </w:rPr>
  </w:style>
  <w:style w:type="paragraph" w:styleId="Heading8">
    <w:name w:val="heading 8"/>
    <w:basedOn w:val="Normal"/>
    <w:next w:val="Normal"/>
    <w:qFormat/>
    <w:pPr>
      <w:keepNext w:val="true"/>
      <w:numPr>
        <w:ilvl w:val="7"/>
        <w:numId w:val="1"/>
      </w:numPr>
      <w:outlineLvl w:val="7"/>
    </w:pPr>
    <w:rPr>
      <w:rFonts w:ascii="Arial" w:hAnsi="Arial" w:cs="Arial"/>
      <w:b/>
      <w:i/>
      <w:color w:val="808080"/>
      <w:sz w:val="20"/>
      <w:lang w:eastAsia="en-US"/>
    </w:rPr>
  </w:style>
  <w:style w:type="paragraph" w:styleId="Heading9">
    <w:name w:val="heading 9"/>
    <w:basedOn w:val="Normal"/>
    <w:next w:val="Normal"/>
    <w:qFormat/>
    <w:pPr>
      <w:keepNext w:val="true"/>
      <w:numPr>
        <w:ilvl w:val="8"/>
        <w:numId w:val="1"/>
      </w:numPr>
      <w:outlineLvl w:val="8"/>
    </w:pPr>
    <w:rPr>
      <w:rFonts w:ascii="Arial" w:hAnsi="Arial" w:cs="Arial"/>
      <w:i/>
      <w:sz w:val="20"/>
      <w:lang w:eastAsia="en-US"/>
    </w:rPr>
  </w:style>
  <w:style w:type="character" w:styleId="WW8Num1z0">
    <w:name w:val="WW8Num1z0"/>
    <w:qFormat/>
    <w:rPr>
      <w:rFonts w:ascii="Wingdings" w:hAnsi="Wingdings" w:cs="Wingdings"/>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color w:val="auto"/>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color w:val="auto"/>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color w:val="auto"/>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auto"/>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color w:val="auto"/>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aramond" w:hAnsi="Garamond" w:cs="Garamond"/>
      <w:b/>
      <w:sz w:val="28"/>
      <w:szCs w:val="20"/>
      <w:u w:val="single"/>
    </w:rPr>
  </w:style>
  <w:style w:type="paragraph" w:styleId="BodyText">
    <w:name w:val="Body Text"/>
    <w:basedOn w:val="Normal"/>
    <w:pPr/>
    <w:rPr>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Garamond" w:hAnsi="Garamond" w:cs="Garamond"/>
      <w:b/>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Indent">
    <w:name w:val="Body Text Indent"/>
    <w:basedOn w:val="Normal"/>
    <w:pPr>
      <w:jc w:val="center"/>
    </w:pPr>
    <w:rPr>
      <w:rFonts w:ascii="Arial" w:hAnsi="Arial" w:cs="Arial"/>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lang w:eastAsia="en-US"/>
    </w:rPr>
  </w:style>
  <w:style w:type="paragraph" w:styleId="FootnoteText">
    <w:name w:val="footnote text"/>
    <w:basedOn w:val="Normal"/>
    <w:pPr/>
    <w:rPr>
      <w:sz w:val="20"/>
    </w:rPr>
  </w:style>
  <w:style w:type="paragraph" w:styleId="BlockText">
    <w:name w:val="Block Text"/>
    <w:basedOn w:val="Normal"/>
    <w:qFormat/>
    <w:pPr>
      <w:tabs>
        <w:tab w:val="left" w:pos="-720" w:leader="none"/>
        <w:tab w:val="left" w:pos="0" w:leader="none"/>
        <w:tab w:val="left" w:pos="720" w:leader="none"/>
        <w:tab w:val="left" w:pos="1440" w:leader="none"/>
      </w:tabs>
      <w:suppressAutoHyphens w:val="true"/>
      <w:ind w:hanging="2160" w:start="2160" w:end="-900"/>
    </w:pPr>
    <w:rPr>
      <w:sz w:val="20"/>
    </w:rPr>
  </w:style>
  <w:style w:type="paragraph" w:styleId="BodyText2">
    <w:name w:val="Body Text 2"/>
    <w:basedOn w:val="Normal"/>
    <w:qFormat/>
    <w:pPr>
      <w:tabs>
        <w:tab w:val="clear" w:pos="720"/>
        <w:tab w:val="left" w:pos="-720" w:leader="none"/>
      </w:tabs>
      <w:suppressAutoHyphens w:val="true"/>
      <w:ind w:hanging="0" w:start="0" w:end="-1080"/>
    </w:pPr>
    <w:rPr>
      <w:sz w:val="20"/>
    </w:rPr>
  </w:style>
  <w:style w:type="paragraph" w:styleId="BodyText3">
    <w:name w:val="Body Text 3"/>
    <w:basedOn w:val="Normal"/>
    <w:qFormat/>
    <w:pPr>
      <w:tabs>
        <w:tab w:val="clear" w:pos="720"/>
        <w:tab w:val="left" w:pos="-720" w:leader="none"/>
      </w:tabs>
      <w:suppressAutoHyphens w:val="true"/>
      <w:ind w:hanging="0" w:start="0" w:end="-72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2001-09-21T15:45:00Z</dcterms:created>
  <dc:creator>MRRuiz</dc:creator>
  <dc:description/>
  <dc:language>en-CA</dc:language>
  <cp:lastModifiedBy>Terri Stine</cp:lastModifiedBy>
  <cp:lastPrinted>2001-09-21T13:15:00Z</cp:lastPrinted>
  <dcterms:modified xsi:type="dcterms:W3CDTF">2001-09-21T15:45:00Z</dcterms:modified>
  <cp:revision>2</cp:revision>
  <dc:subject/>
  <dc:title>JEREMIAH JAMES TAKAHATA</dc:title>
</cp:coreProperties>
</file>