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jc w:val="center"/>
        <w:outlineLvl w:val="0"/>
        <w:rPr>
          <w:sz w:val="24"/>
        </w:rPr>
      </w:pPr>
      <w:r>
        <w:rPr>
          <w:sz w:val="24"/>
        </w:rPr>
        <w:t>Kenneth O. Booi</w:t>
      </w:r>
    </w:p>
    <w:p>
      <w:pPr>
        <w:pStyle w:val="Normal"/>
        <w:widowControl/>
        <w:jc w:val="center"/>
        <w:rPr>
          <w:sz w:val="4"/>
        </w:rPr>
      </w:pPr>
      <w:r>
        <w:rPr>
          <w:sz w:val="4"/>
        </w:rPr>
      </w:r>
    </w:p>
    <w:p>
      <w:pPr>
        <w:pStyle w:val="Normal"/>
        <w:widowControl/>
        <w:jc w:val="center"/>
        <w:rPr>
          <w:sz w:val="4"/>
        </w:rPr>
      </w:pPr>
      <w:r>
        <w:rPr>
          <w:sz w:val="4"/>
        </w:rPr>
      </w:r>
    </w:p>
    <w:p>
      <w:pPr>
        <w:pStyle w:val="Normal"/>
        <w:widowControl/>
        <w:jc w:val="center"/>
        <w:rPr>
          <w:sz w:val="4"/>
        </w:rPr>
      </w:pPr>
      <w:r>
        <w:rPr>
          <w:sz w:val="4"/>
        </w:rPr>
      </w:r>
    </w:p>
    <w:tbl>
      <w:tblPr>
        <w:tblW w:w="10380" w:type="dxa"/>
        <w:jc w:val="start"/>
        <w:tblInd w:w="0" w:type="dxa"/>
        <w:tblLayout w:type="fixed"/>
        <w:tblCellMar>
          <w:top w:w="0" w:type="dxa"/>
          <w:start w:w="30" w:type="dxa"/>
          <w:bottom w:w="0" w:type="dxa"/>
          <w:end w:w="30" w:type="dxa"/>
        </w:tblCellMar>
      </w:tblPr>
      <w:tblGrid>
        <w:gridCol w:w="2870"/>
        <w:gridCol w:w="7510"/>
      </w:tblGrid>
      <w:tr>
        <w:trPr>
          <w:trHeight w:val="250" w:hRule="atLeast"/>
        </w:trPr>
        <w:tc>
          <w:tcPr>
            <w:tcW w:w="2870" w:type="dxa"/>
            <w:tcBorders/>
          </w:tcPr>
          <w:p>
            <w:pPr>
              <w:pStyle w:val="Normal"/>
              <w:widowControl/>
              <w:rPr>
                <w:color w:val="000000"/>
                <w:sz w:val="17"/>
              </w:rPr>
            </w:pPr>
            <w:r>
              <w:rPr>
                <w:color w:val="000000"/>
                <w:sz w:val="17"/>
              </w:rPr>
              <w:t>7950 North Stadium Drive, # 207</w:t>
            </w:r>
          </w:p>
        </w:tc>
        <w:tc>
          <w:tcPr>
            <w:tcW w:w="7510" w:type="dxa"/>
            <w:tcBorders/>
          </w:tcPr>
          <w:p>
            <w:pPr>
              <w:pStyle w:val="Normal"/>
              <w:widowControl/>
              <w:jc w:val="end"/>
              <w:rPr>
                <w:color w:val="000000"/>
                <w:sz w:val="17"/>
              </w:rPr>
            </w:pPr>
            <w:r>
              <w:rPr>
                <w:color w:val="000000"/>
                <w:sz w:val="17"/>
              </w:rPr>
              <w:t>tel.:(713)  515-2434 or 713-646-7047</w:t>
            </w:r>
          </w:p>
        </w:tc>
      </w:tr>
      <w:tr>
        <w:trPr>
          <w:trHeight w:val="250" w:hRule="atLeast"/>
        </w:trPr>
        <w:tc>
          <w:tcPr>
            <w:tcW w:w="2870" w:type="dxa"/>
            <w:tcBorders/>
          </w:tcPr>
          <w:p>
            <w:pPr>
              <w:pStyle w:val="Normal"/>
              <w:widowControl/>
              <w:rPr>
                <w:color w:val="000000"/>
                <w:sz w:val="17"/>
              </w:rPr>
            </w:pPr>
            <w:r>
              <w:rPr>
                <w:color w:val="000000"/>
                <w:sz w:val="17"/>
              </w:rPr>
              <w:t>Houston, TX 77030</w:t>
            </w:r>
          </w:p>
        </w:tc>
        <w:tc>
          <w:tcPr>
            <w:tcW w:w="7510" w:type="dxa"/>
            <w:tcBorders/>
          </w:tcPr>
          <w:p>
            <w:pPr>
              <w:pStyle w:val="Normal"/>
              <w:widowControl/>
              <w:jc w:val="end"/>
              <w:rPr>
                <w:color w:val="000000"/>
                <w:sz w:val="17"/>
              </w:rPr>
            </w:pPr>
            <w:hyperlink r:id="rId2">
              <w:r>
                <w:rPr>
                  <w:rStyle w:val="Hyperlink"/>
                  <w:sz w:val="17"/>
                  <w:u w:val="none"/>
                </w:rPr>
                <w:t>Kenneth.booi@enron.com</w:t>
              </w:r>
            </w:hyperlink>
          </w:p>
        </w:tc>
      </w:tr>
    </w:tbl>
    <w:p>
      <w:pPr>
        <w:pStyle w:val="Normal"/>
        <w:widowControl/>
        <w:pBdr>
          <w:top w:val="single" w:sz="6" w:space="0" w:color="000000" w:shadow="1"/>
          <w:left w:val="single" w:sz="6" w:space="1" w:color="000000" w:shadow="1"/>
          <w:bottom w:val="single" w:sz="6" w:space="0" w:color="000000" w:shadow="1"/>
          <w:right w:val="single" w:sz="6" w:space="1" w:color="000000" w:shadow="1"/>
        </w:pBdr>
        <w:rPr>
          <w:sz w:val="4"/>
        </w:rPr>
      </w:pPr>
      <w:r>
        <w:rPr>
          <w:sz w:val="2"/>
        </w:rPr>
        <w:object w:dxaOrig="10214" w:dyaOrig="1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10.7pt;height:10pt" filled="f" o:ole="">
            <v:imagedata r:id="rId4" o:title=""/>
          </v:shape>
          <o:OLEObject Type="Embed" ProgID="" ShapeID="ole_rId3" DrawAspect="Content" ObjectID="_16818122" r:id="rId3"/>
        </w:object>
      </w:r>
    </w:p>
    <w:p>
      <w:pPr>
        <w:pStyle w:val="Normal"/>
        <w:widowControl/>
        <w:ind w:hanging="1417" w:start="1417" w:end="133"/>
        <w:jc w:val="both"/>
        <w:rPr/>
      </w:pPr>
      <w:r>
        <w:rPr>
          <w:b/>
          <w:smallCaps/>
          <w:sz w:val="24"/>
        </w:rPr>
        <w:t>Objective</w:t>
      </w:r>
      <w:r>
        <w:rPr/>
        <w:tab/>
      </w:r>
      <w:r>
        <w:rPr>
          <w:sz w:val="18"/>
        </w:rPr>
        <w:t>Position in Enron Global Markets</w:t>
      </w:r>
      <w:r>
        <w:rPr>
          <w:i/>
          <w:sz w:val="18"/>
        </w:rPr>
        <w:t xml:space="preserve"> </w:t>
      </w:r>
      <w:r>
        <w:rPr>
          <w:sz w:val="18"/>
        </w:rPr>
        <w:t>giving me the opportunity to combine my technical and commercial skills in deal making, experience in contract negotiations and economic modeling/structuring, to explore and create a Cement business for Enron.</w:t>
      </w:r>
    </w:p>
    <w:p>
      <w:pPr>
        <w:pStyle w:val="Normal"/>
        <w:widowControl/>
        <w:pBdr>
          <w:top w:val="single" w:sz="6" w:space="0" w:color="000000" w:shadow="1"/>
          <w:left w:val="single" w:sz="6" w:space="1" w:color="000000" w:shadow="1"/>
          <w:bottom w:val="single" w:sz="6" w:space="0" w:color="000000" w:shadow="1"/>
          <w:right w:val="single" w:sz="6" w:space="1" w:color="000000" w:shadow="1"/>
        </w:pBdr>
        <w:jc w:val="center"/>
        <w:rPr>
          <w:sz w:val="4"/>
        </w:rPr>
      </w:pPr>
      <w:r>
        <w:rPr>
          <w:sz w:val="4"/>
        </w:rPr>
        <w:object w:dxaOrig="10214" w:dyaOrig="172">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510.7pt;height:8.6pt" filled="f" o:ole="">
            <v:imagedata r:id="rId6" o:title=""/>
          </v:shape>
          <o:OLEObject Type="Embed" ProgID="" ShapeID="ole_rId5" DrawAspect="Content" ObjectID="_630369568" r:id="rId5"/>
        </w:object>
      </w:r>
    </w:p>
    <w:p>
      <w:pPr>
        <w:pStyle w:val="Caption"/>
        <w:rPr/>
      </w:pPr>
      <w:r>
        <w:rPr/>
        <w:t>Accomplishments and Strengths</w:t>
      </w:r>
    </w:p>
    <w:p>
      <w:pPr>
        <w:pStyle w:val="Normal"/>
        <w:widowControl/>
        <w:ind w:hanging="113" w:start="453" w:end="0"/>
        <w:rPr/>
      </w:pPr>
      <w:r>
        <w:rPr>
          <w:rFonts w:ascii="Monotype Sorts" w:hAnsi="Monotype Sorts"/>
          <w:sz w:val="18"/>
        </w:rPr>
        <w:sym w:font="Monotype Sorts" w:char="46"/>
      </w:r>
      <w:r>
        <w:rPr>
          <w:i/>
          <w:sz w:val="18"/>
        </w:rPr>
        <w:t>POWER DEALS:</w:t>
      </w:r>
      <w:r>
        <w:rPr>
          <w:sz w:val="18"/>
        </w:rPr>
        <w:t xml:space="preserve"> Successful development of a grassroots 120 MW Co-generation Plant at La Plata, and Acquisition of 250 MW Lujan de Cuyo Plant in Argentina.  Both plants are in commercial operation.</w:t>
      </w:r>
    </w:p>
    <w:p>
      <w:pPr>
        <w:pStyle w:val="Normal"/>
        <w:widowControl/>
        <w:ind w:hanging="113" w:start="453" w:end="0"/>
        <w:rPr/>
      </w:pPr>
      <w:r>
        <w:rPr>
          <w:rFonts w:ascii="Monotype Sorts" w:hAnsi="Monotype Sorts"/>
          <w:sz w:val="18"/>
        </w:rPr>
        <w:sym w:font="Monotype Sorts" w:char="46"/>
      </w:r>
      <w:r>
        <w:rPr>
          <w:i/>
          <w:sz w:val="18"/>
        </w:rPr>
        <w:t>PRIVATIZATION DUE DILIGENCE:</w:t>
      </w:r>
      <w:r>
        <w:rPr>
          <w:sz w:val="18"/>
        </w:rPr>
        <w:t xml:space="preserve"> Project Leader in technical, Operational, and Financial Valuation of YPFB Assets, privatized by the Government of Bolivia for 870 MMUS$. Performed numerous due diligence on oil terminals and refineries in other South American countries.</w:t>
      </w:r>
    </w:p>
    <w:p>
      <w:pPr>
        <w:pStyle w:val="Normal"/>
        <w:widowControl/>
        <w:ind w:hanging="113" w:start="453" w:end="0"/>
        <w:rPr/>
      </w:pPr>
      <w:r>
        <w:rPr>
          <w:rFonts w:ascii="Monotype Sorts" w:hAnsi="Monotype Sorts"/>
          <w:sz w:val="18"/>
        </w:rPr>
        <w:sym w:font="Monotype Sorts" w:char="46"/>
      </w:r>
      <w:r>
        <w:rPr>
          <w:i/>
          <w:sz w:val="18"/>
        </w:rPr>
        <w:t>ECONOMICS</w:t>
      </w:r>
      <w:r>
        <w:rPr>
          <w:sz w:val="18"/>
        </w:rPr>
        <w:t xml:space="preserve"> – Power Plant Economic Modeling, Linear Programming Modeling, Power and Fuel Price Forecasting.</w:t>
      </w:r>
    </w:p>
    <w:p>
      <w:pPr>
        <w:pStyle w:val="Normal"/>
        <w:widowControl/>
        <w:ind w:hanging="113" w:start="453" w:end="0"/>
        <w:rPr/>
      </w:pPr>
      <w:r>
        <w:rPr>
          <w:rFonts w:ascii="Monotype Sorts" w:hAnsi="Monotype Sorts"/>
          <w:i/>
          <w:sz w:val="18"/>
        </w:rPr>
        <w:sym w:font="Monotype Sorts" w:char="46"/>
      </w:r>
      <w:r>
        <w:rPr>
          <w:i/>
          <w:sz w:val="18"/>
        </w:rPr>
        <w:t>INTERNATIONAL EXPERIENCE</w:t>
      </w:r>
      <w:r>
        <w:rPr>
          <w:sz w:val="18"/>
        </w:rPr>
        <w:t xml:space="preserve"> – Business development in Latin America, and contract negotiations.</w:t>
      </w:r>
    </w:p>
    <w:p>
      <w:pPr>
        <w:pStyle w:val="Normal"/>
        <w:widowControl/>
        <w:ind w:hanging="113" w:start="453" w:end="0"/>
        <w:jc w:val="both"/>
        <w:rPr/>
      </w:pPr>
      <w:r>
        <w:rPr>
          <w:rFonts w:ascii="Monotype Sorts" w:hAnsi="Monotype Sorts"/>
          <w:sz w:val="18"/>
        </w:rPr>
        <w:sym w:font="Monotype Sorts" w:char="46"/>
      </w:r>
      <w:r>
        <w:rPr>
          <w:i/>
          <w:sz w:val="18"/>
        </w:rPr>
        <w:t>COMPUTER SKILLS</w:t>
      </w:r>
      <w:r>
        <w:rPr>
          <w:sz w:val="18"/>
        </w:rPr>
        <w:t xml:space="preserve"> - IBM PC, MS Office 7.0, Linear Programming.</w:t>
      </w:r>
    </w:p>
    <w:p>
      <w:pPr>
        <w:pStyle w:val="Normal"/>
        <w:widowControl/>
        <w:ind w:hanging="113" w:start="453" w:end="0"/>
        <w:rPr/>
      </w:pPr>
      <w:r>
        <w:rPr>
          <w:rFonts w:ascii="Monotype Sorts" w:hAnsi="Monotype Sorts"/>
          <w:sz w:val="18"/>
        </w:rPr>
        <w:sym w:font="Monotype Sorts" w:char="46"/>
      </w:r>
      <w:r>
        <w:rPr>
          <w:i/>
          <w:sz w:val="18"/>
        </w:rPr>
        <w:t>FOREIGN LANGUAGES</w:t>
      </w:r>
      <w:r>
        <w:rPr>
          <w:sz w:val="18"/>
        </w:rPr>
        <w:t xml:space="preserve"> – Fluent in English, Dutch, Spanish, and Papiamento.</w:t>
      </w:r>
    </w:p>
    <w:p>
      <w:pPr>
        <w:pStyle w:val="Normal"/>
        <w:widowControl/>
        <w:pBdr>
          <w:top w:val="single" w:sz="6" w:space="7" w:color="000000" w:shadow="1"/>
          <w:left w:val="single" w:sz="6" w:space="1" w:color="000000" w:shadow="1"/>
          <w:bottom w:val="single" w:sz="6" w:space="1" w:color="000000" w:shadow="1"/>
          <w:right w:val="single" w:sz="6" w:space="1" w:color="000000" w:shadow="1"/>
        </w:pBdr>
        <w:rPr>
          <w:sz w:val="2"/>
        </w:rPr>
      </w:pPr>
      <w:r>
        <w:rPr>
          <w:sz w:val="2"/>
        </w:rPr>
      </w:r>
    </w:p>
    <w:p>
      <w:pPr>
        <w:pStyle w:val="Normal"/>
        <w:widowControl/>
        <w:numPr>
          <w:ilvl w:val="0"/>
          <w:numId w:val="0"/>
        </w:numPr>
        <w:outlineLvl w:val="0"/>
        <w:rPr>
          <w:smallCaps/>
          <w:sz w:val="24"/>
        </w:rPr>
      </w:pPr>
      <w:r>
        <w:rPr>
          <w:b/>
          <w:smallCaps/>
          <w:sz w:val="24"/>
        </w:rPr>
        <w:t>Employment</w:t>
      </w:r>
    </w:p>
    <w:p>
      <w:pPr>
        <w:pStyle w:val="Normal"/>
        <w:widowControl/>
        <w:tabs>
          <w:tab w:val="clear" w:pos="720"/>
          <w:tab w:val="right" w:pos="10440" w:leader="none"/>
        </w:tabs>
        <w:ind w:hanging="113" w:start="453" w:end="0"/>
        <w:jc w:val="both"/>
        <w:rPr/>
      </w:pPr>
      <w:r>
        <w:rPr>
          <w:rFonts w:ascii="Monotype Sorts" w:hAnsi="Monotype Sorts"/>
          <w:b/>
          <w:sz w:val="20"/>
        </w:rPr>
        <w:sym w:font="Monotype Sorts" w:char="46"/>
      </w:r>
      <w:r>
        <w:rPr>
          <w:b/>
          <w:u w:val="single"/>
        </w:rPr>
        <w:t xml:space="preserve">ENRON Corporation </w:t>
      </w:r>
      <w:r>
        <w:rPr>
          <w:sz w:val="18"/>
        </w:rPr>
        <w:t>(Houston, TX)</w:t>
      </w:r>
    </w:p>
    <w:p>
      <w:pPr>
        <w:pStyle w:val="Normal"/>
        <w:widowControl/>
        <w:tabs>
          <w:tab w:val="clear" w:pos="720"/>
          <w:tab w:val="right" w:pos="10440" w:leader="none"/>
        </w:tabs>
        <w:ind w:hanging="113" w:start="630" w:end="0"/>
        <w:jc w:val="both"/>
        <w:rPr/>
      </w:pPr>
      <w:r>
        <w:rPr>
          <w:rFonts w:eastAsia="Arial"/>
          <w:sz w:val="16"/>
        </w:rPr>
        <w:t xml:space="preserve"> </w:t>
      </w:r>
      <w:r>
        <w:rPr>
          <w:b/>
          <w:sz w:val="18"/>
        </w:rPr>
        <w:t>ENRON International</w:t>
      </w:r>
      <w:r>
        <w:rPr>
          <w:sz w:val="18"/>
        </w:rPr>
        <w:t>, Commercial Director</w:t>
        <w:tab/>
        <w:t>02/98-</w:t>
      </w:r>
      <w:r>
        <w:rPr>
          <w:sz w:val="15"/>
        </w:rPr>
        <w:t>present</w:t>
      </w:r>
    </w:p>
    <w:p>
      <w:pPr>
        <w:pStyle w:val="Normal"/>
        <w:widowControl/>
        <w:tabs>
          <w:tab w:val="clear" w:pos="720"/>
          <w:tab w:val="right" w:pos="1890" w:leader="none"/>
          <w:tab w:val="left" w:pos="2160" w:leader="none"/>
        </w:tabs>
        <w:ind w:hanging="1800" w:start="2160" w:end="0"/>
        <w:jc w:val="both"/>
        <w:rPr/>
      </w:pPr>
      <w:r>
        <w:rPr>
          <w:i/>
          <w:sz w:val="18"/>
        </w:rPr>
        <w:t>Project Development</w:t>
        <w:tab/>
      </w:r>
      <w:r>
        <w:rPr>
          <w:rFonts w:ascii="Courier New" w:hAnsi="Courier New"/>
          <w:sz w:val="16"/>
        </w:rPr>
        <w:sym w:font="Courier New" w:char="b7"/>
      </w:r>
      <w:r>
        <w:rPr>
          <w:i/>
          <w:sz w:val="18"/>
        </w:rPr>
        <w:t xml:space="preserve">Caribbean Basin Group </w:t>
      </w:r>
      <w:r>
        <w:rPr>
          <w:sz w:val="18"/>
        </w:rPr>
        <w:t>– 120 MW power project in Colombia (deal canceled);  Negotiated a 10 year PPA for a 90 MW used barge mounted power plant in Jamaica (postponed till 2001 pending elections).</w:t>
      </w:r>
    </w:p>
    <w:p>
      <w:pPr>
        <w:pStyle w:val="Normal"/>
        <w:widowControl/>
        <w:tabs>
          <w:tab w:val="clear" w:pos="720"/>
          <w:tab w:val="right" w:pos="1890" w:leader="none"/>
          <w:tab w:val="left" w:pos="2160" w:leader="none"/>
        </w:tabs>
        <w:ind w:hanging="1800" w:start="2160" w:end="0"/>
        <w:jc w:val="both"/>
        <w:rPr/>
      </w:pPr>
      <w:r>
        <w:rPr>
          <w:i/>
          <w:sz w:val="18"/>
        </w:rPr>
        <w:t>Deal Structuring</w:t>
        <w:tab/>
        <w:tab/>
      </w:r>
      <w:r>
        <w:rPr>
          <w:rFonts w:ascii="Courier New" w:hAnsi="Courier New"/>
          <w:sz w:val="16"/>
        </w:rPr>
        <w:sym w:font="Courier New" w:char="b7"/>
      </w:r>
      <w:r>
        <w:rPr>
          <w:i/>
          <w:sz w:val="18"/>
        </w:rPr>
        <w:t xml:space="preserve">Caribbean Basin Group </w:t>
      </w:r>
      <w:r>
        <w:rPr>
          <w:sz w:val="18"/>
        </w:rPr>
        <w:t>–Financial re-engineering and re-leveraging of a Gas Transportation company – creating $18MM of additional economic value &amp; earnings (not-completed)</w:t>
      </w:r>
      <w:r>
        <w:rPr>
          <w:b/>
          <w:sz w:val="18"/>
        </w:rPr>
        <w:t>;</w:t>
      </w:r>
      <w:r>
        <w:rPr>
          <w:sz w:val="18"/>
        </w:rPr>
        <w:t xml:space="preserve"> financial structuring of a $60MM gas treating plant deal through securitization and off-shore financing (bid canceled)</w:t>
      </w:r>
      <w:r>
        <w:rPr>
          <w:b/>
          <w:sz w:val="18"/>
        </w:rPr>
        <w:t>;</w:t>
      </w:r>
      <w:r>
        <w:rPr>
          <w:sz w:val="18"/>
        </w:rPr>
        <w:t xml:space="preserve"> structuring of a gasoline for fuel oil swap deal</w:t>
      </w:r>
      <w:r>
        <w:rPr>
          <w:b/>
          <w:sz w:val="18"/>
        </w:rPr>
        <w:t>;</w:t>
      </w:r>
      <w:r>
        <w:rPr>
          <w:sz w:val="18"/>
        </w:rPr>
        <w:t xml:space="preserve"> $75MM acquisition of a Colombian Gas LDC – a negotiated deal involving a radically new legal and financial structure (deal canceled). </w:t>
      </w:r>
    </w:p>
    <w:p>
      <w:pPr>
        <w:pStyle w:val="Normal"/>
        <w:widowControl/>
        <w:tabs>
          <w:tab w:val="clear" w:pos="720"/>
          <w:tab w:val="right" w:pos="10440" w:leader="none"/>
        </w:tabs>
        <w:ind w:hanging="113" w:start="453" w:end="0"/>
        <w:jc w:val="both"/>
        <w:rPr/>
      </w:pPr>
      <w:r>
        <w:rPr>
          <w:rFonts w:ascii="Monotype Sorts" w:hAnsi="Monotype Sorts"/>
          <w:b/>
          <w:sz w:val="20"/>
        </w:rPr>
        <w:sym w:font="Monotype Sorts" w:char="46"/>
      </w:r>
      <w:r>
        <w:rPr>
          <w:b/>
          <w:u w:val="single"/>
        </w:rPr>
        <w:t xml:space="preserve">Consulting Firms/The World Bank </w:t>
      </w:r>
      <w:r>
        <w:rPr>
          <w:sz w:val="18"/>
        </w:rPr>
        <w:t>(Dallas, TX and Washington, DC)</w:t>
        <w:tab/>
        <w:t>03/84-02/98</w:t>
      </w:r>
    </w:p>
    <w:p>
      <w:pPr>
        <w:pStyle w:val="Normal"/>
        <w:widowControl/>
        <w:ind w:hanging="1704" w:start="2157" w:end="0"/>
        <w:jc w:val="both"/>
        <w:rPr/>
      </w:pPr>
      <w:r>
        <w:rPr>
          <w:i/>
          <w:sz w:val="18"/>
        </w:rPr>
        <w:t>Valuations</w:t>
        <w:tab/>
      </w:r>
      <w:r>
        <w:rPr>
          <w:rFonts w:ascii="Courier New" w:hAnsi="Courier New"/>
          <w:sz w:val="16"/>
        </w:rPr>
        <w:sym w:font="Courier New" w:char="b7"/>
      </w:r>
      <w:r>
        <w:rPr>
          <w:sz w:val="17"/>
        </w:rPr>
        <w:t>Advisor to</w:t>
      </w:r>
      <w:r>
        <w:rPr>
          <w:sz w:val="18"/>
        </w:rPr>
        <w:t xml:space="preserve"> clients from USA (buyers), and Bolivia (Seller) in numerous refinery and power privatization projects.</w:t>
      </w:r>
    </w:p>
    <w:p>
      <w:pPr>
        <w:pStyle w:val="Normal"/>
        <w:widowControl/>
        <w:ind w:hanging="90" w:start="2250" w:end="0"/>
        <w:jc w:val="both"/>
        <w:rPr/>
      </w:pPr>
      <w:r>
        <w:rPr>
          <w:rFonts w:ascii="Courier New" w:hAnsi="Courier New"/>
          <w:sz w:val="16"/>
        </w:rPr>
        <w:sym w:font="Courier New" w:char="b7"/>
      </w:r>
      <w:r>
        <w:rPr>
          <w:sz w:val="18"/>
        </w:rPr>
        <w:t>Performed due diligence reviews for acquisition targets, minimum price setting for upstream,              transportation, distribution and refinery assets of YPFB on behalf of the Bolivian Government.</w:t>
      </w:r>
    </w:p>
    <w:p>
      <w:pPr>
        <w:pStyle w:val="Normal"/>
        <w:widowControl/>
        <w:ind w:hanging="90" w:start="2250" w:end="0"/>
        <w:jc w:val="both"/>
        <w:rPr/>
      </w:pPr>
      <w:r>
        <w:rPr>
          <w:rFonts w:ascii="Courier New" w:hAnsi="Courier New"/>
          <w:sz w:val="16"/>
        </w:rPr>
        <w:sym w:font="Courier New" w:char="b7"/>
      </w:r>
      <w:r>
        <w:rPr>
          <w:sz w:val="18"/>
        </w:rPr>
        <w:t>Identified 120 MW co-generation opportunity at La Plata Refinery and advised in project development, performed power price forecast, and assisted in contract negotiations for a new entrant in the power industry in Argentina.  Plant is in commercial operation.</w:t>
      </w:r>
    </w:p>
    <w:p>
      <w:pPr>
        <w:pStyle w:val="Normal"/>
        <w:widowControl/>
        <w:ind w:hanging="90" w:start="2250" w:end="0"/>
        <w:jc w:val="both"/>
        <w:rPr/>
      </w:pPr>
      <w:r>
        <w:rPr>
          <w:rFonts w:ascii="Courier New" w:hAnsi="Courier New"/>
          <w:sz w:val="16"/>
        </w:rPr>
        <w:sym w:font="Courier New" w:char="b7"/>
      </w:r>
      <w:r>
        <w:rPr>
          <w:sz w:val="18"/>
        </w:rPr>
        <w:t>Performed due diligence on a 250 MW power plant in Lujan De Cuyo, Argentina and assisted in the valuation and bid preparation to acquire the plant from the government.  Client became the successful bidder and owns, operates and maintains the plant.</w:t>
      </w:r>
    </w:p>
    <w:p>
      <w:pPr>
        <w:pStyle w:val="Normal"/>
        <w:widowControl/>
        <w:ind w:start="453" w:end="0"/>
        <w:jc w:val="both"/>
        <w:rPr/>
      </w:pPr>
      <w:r>
        <w:rPr>
          <w:sz w:val="17"/>
        </w:rPr>
        <w:tab/>
        <w:tab/>
        <w:tab/>
      </w:r>
      <w:r>
        <w:rPr>
          <w:rFonts w:ascii="Courier New" w:hAnsi="Courier New"/>
          <w:sz w:val="16"/>
        </w:rPr>
        <w:sym w:font="Courier New" w:char="b7"/>
      </w:r>
      <w:r>
        <w:rPr>
          <w:sz w:val="18"/>
        </w:rPr>
        <w:t>Reviewed energy projects and assessed energy policy for Government of Zimbabwe.</w:t>
      </w:r>
    </w:p>
    <w:p>
      <w:pPr>
        <w:pStyle w:val="Normal"/>
        <w:widowControl/>
        <w:ind w:hanging="1710" w:start="2160" w:end="0"/>
        <w:jc w:val="both"/>
        <w:rPr/>
      </w:pPr>
      <w:r>
        <w:rPr>
          <w:i/>
          <w:sz w:val="18"/>
        </w:rPr>
        <w:t>Benchmarking</w:t>
      </w:r>
      <w:r>
        <w:rPr>
          <w:sz w:val="18"/>
        </w:rPr>
        <w:tab/>
      </w:r>
      <w:r>
        <w:rPr>
          <w:rFonts w:ascii="Courier New" w:hAnsi="Courier New"/>
          <w:sz w:val="16"/>
        </w:rPr>
        <w:sym w:font="Courier New" w:char="b7"/>
      </w:r>
      <w:r>
        <w:rPr>
          <w:sz w:val="18"/>
        </w:rPr>
        <w:t>Conducted annual benchmarking multi-client studies using energy intensity index, value-added index,       maintenance index, operations index as performance benchmarking indicators and ranking of over 100 participating refineries.</w:t>
      </w:r>
    </w:p>
    <w:p>
      <w:pPr>
        <w:pStyle w:val="Normal"/>
        <w:widowControl/>
        <w:ind w:hanging="90" w:start="2250" w:end="0"/>
        <w:jc w:val="both"/>
        <w:rPr/>
      </w:pPr>
      <w:r>
        <w:rPr>
          <w:rFonts w:ascii="Courier New" w:hAnsi="Courier New"/>
          <w:sz w:val="16"/>
        </w:rPr>
        <w:sym w:font="Courier New" w:char="b7"/>
      </w:r>
      <w:r>
        <w:rPr>
          <w:sz w:val="18"/>
        </w:rPr>
        <w:t>Performed energy management due diligence in numerous refineries.</w:t>
      </w:r>
    </w:p>
    <w:p>
      <w:pPr>
        <w:pStyle w:val="Normal"/>
        <w:widowControl/>
        <w:ind w:start="453" w:end="0"/>
        <w:jc w:val="both"/>
        <w:rPr/>
      </w:pPr>
      <w:r>
        <w:rPr>
          <w:sz w:val="17"/>
        </w:rPr>
        <w:tab/>
        <w:tab/>
        <w:tab/>
      </w:r>
      <w:r>
        <w:rPr>
          <w:rFonts w:ascii="Courier New" w:hAnsi="Courier New"/>
          <w:sz w:val="16"/>
        </w:rPr>
        <w:sym w:font="Courier New" w:char="b7"/>
      </w:r>
      <w:r>
        <w:rPr>
          <w:sz w:val="18"/>
        </w:rPr>
        <w:t>Conducted organizational restructuring for a major refinery in South America.</w:t>
      </w:r>
    </w:p>
    <w:p>
      <w:pPr>
        <w:pStyle w:val="Normal"/>
        <w:widowControl/>
        <w:ind w:hanging="1710" w:start="2160" w:end="0"/>
        <w:jc w:val="both"/>
        <w:rPr/>
      </w:pPr>
      <w:r>
        <w:rPr>
          <w:i/>
          <w:sz w:val="18"/>
        </w:rPr>
        <w:t>Price Forecasting</w:t>
      </w:r>
      <w:r>
        <w:rPr>
          <w:sz w:val="18"/>
        </w:rPr>
        <w:tab/>
      </w:r>
      <w:r>
        <w:rPr>
          <w:rFonts w:ascii="Courier New" w:hAnsi="Courier New"/>
          <w:sz w:val="16"/>
        </w:rPr>
        <w:sym w:font="Courier New" w:char="b7"/>
      </w:r>
      <w:r>
        <w:rPr>
          <w:sz w:val="18"/>
        </w:rPr>
        <w:t>Analyzed Argentina’s power market and conducted power price forecast for Argentina’s wholesale electricity market for OPIC.</w:t>
      </w:r>
    </w:p>
    <w:p>
      <w:pPr>
        <w:pStyle w:val="Normal"/>
        <w:widowControl/>
        <w:ind w:start="453" w:end="0"/>
        <w:jc w:val="both"/>
        <w:rPr>
          <w:sz w:val="18"/>
        </w:rPr>
      </w:pPr>
      <w:r>
        <w:rPr>
          <w:sz w:val="18"/>
        </w:rPr>
      </w:r>
    </w:p>
    <w:p>
      <w:pPr>
        <w:pStyle w:val="Normal"/>
        <w:widowControl/>
        <w:tabs>
          <w:tab w:val="clear" w:pos="720"/>
          <w:tab w:val="right" w:pos="10440" w:leader="none"/>
        </w:tabs>
        <w:ind w:hanging="113" w:start="453" w:end="0"/>
        <w:jc w:val="both"/>
        <w:rPr/>
      </w:pPr>
      <w:r>
        <w:rPr>
          <w:rFonts w:ascii="Monotype Sorts" w:hAnsi="Monotype Sorts"/>
          <w:sz w:val="20"/>
        </w:rPr>
        <w:sym w:font="Monotype Sorts" w:char="46"/>
      </w:r>
      <w:r>
        <w:rPr>
          <w:b/>
          <w:u w:val="single"/>
        </w:rPr>
        <w:t xml:space="preserve">EXXON Corporation </w:t>
      </w:r>
      <w:r>
        <w:rPr>
          <w:sz w:val="18"/>
        </w:rPr>
        <w:t>(Dallas, TX)</w:t>
        <w:tab/>
        <w:t>07/75-09/84</w:t>
      </w:r>
    </w:p>
    <w:p>
      <w:pPr>
        <w:pStyle w:val="Normal"/>
        <w:widowControl/>
        <w:ind w:start="453" w:end="0"/>
        <w:jc w:val="both"/>
        <w:rPr>
          <w:i/>
          <w:i/>
          <w:sz w:val="18"/>
        </w:rPr>
      </w:pPr>
      <w:r>
        <w:rPr>
          <w:i/>
          <w:sz w:val="18"/>
        </w:rPr>
        <w:t>Senior Engineer</w:t>
        <w:tab/>
      </w:r>
      <w:r>
        <w:rPr>
          <w:rFonts w:ascii="Courier New" w:hAnsi="Courier New"/>
          <w:sz w:val="16"/>
        </w:rPr>
        <w:sym w:font="Courier New" w:char="b7"/>
      </w:r>
      <w:r>
        <w:rPr>
          <w:sz w:val="18"/>
        </w:rPr>
        <w:t>Coordinator of Product movements in Caribbean and Central America region.</w:t>
      </w:r>
    </w:p>
    <w:p>
      <w:pPr>
        <w:pStyle w:val="Normal"/>
        <w:widowControl/>
        <w:ind w:hanging="93" w:start="2250" w:end="0"/>
        <w:jc w:val="both"/>
        <w:rPr/>
      </w:pPr>
      <w:r>
        <w:rPr>
          <w:rFonts w:ascii="Courier New" w:hAnsi="Courier New"/>
          <w:sz w:val="16"/>
        </w:rPr>
        <w:sym w:font="Courier New" w:char="b7"/>
      </w:r>
      <w:r>
        <w:rPr>
          <w:sz w:val="18"/>
        </w:rPr>
        <w:t>Analyzed monthly and quarterly economics of and developed production plans for a 300,000 Barrels per Day refinery operation.</w:t>
      </w:r>
    </w:p>
    <w:p>
      <w:pPr>
        <w:pStyle w:val="Normal"/>
        <w:widowControl/>
        <w:ind w:hanging="93" w:start="2250" w:end="0"/>
        <w:jc w:val="both"/>
        <w:rPr>
          <w:i/>
          <w:i/>
          <w:sz w:val="18"/>
        </w:rPr>
      </w:pPr>
      <w:r>
        <w:rPr>
          <w:rFonts w:ascii="Courier New" w:hAnsi="Courier New"/>
          <w:sz w:val="16"/>
        </w:rPr>
        <w:sym w:font="Courier New" w:char="b7"/>
      </w:r>
      <w:r>
        <w:rPr>
          <w:sz w:val="18"/>
        </w:rPr>
        <w:t>Project leader for a major reconfiguration of a 300,000 Barrels per Day refinery.</w:t>
      </w:r>
    </w:p>
    <w:p>
      <w:pPr>
        <w:pStyle w:val="Normal"/>
        <w:widowControl/>
        <w:ind w:start="453" w:end="0"/>
        <w:jc w:val="both"/>
        <w:rPr>
          <w:i/>
          <w:i/>
          <w:sz w:val="18"/>
        </w:rPr>
      </w:pPr>
      <w:r>
        <w:rPr>
          <w:i/>
          <w:sz w:val="18"/>
        </w:rPr>
      </w:r>
    </w:p>
    <w:p>
      <w:pPr>
        <w:pStyle w:val="Normal"/>
        <w:widowControl/>
        <w:pBdr>
          <w:top w:val="single" w:sz="6" w:space="1" w:color="000000" w:shadow="1"/>
          <w:left w:val="single" w:sz="6" w:space="1" w:color="000000" w:shadow="1"/>
          <w:bottom w:val="single" w:sz="6" w:space="1" w:color="000000" w:shadow="1"/>
          <w:right w:val="single" w:sz="6" w:space="1" w:color="000000" w:shadow="1"/>
        </w:pBdr>
        <w:rPr>
          <w:sz w:val="2"/>
        </w:rPr>
      </w:pPr>
      <w:r>
        <w:rPr>
          <w:sz w:val="2"/>
        </w:rPr>
      </w:r>
    </w:p>
    <w:p>
      <w:pPr>
        <w:pStyle w:val="Heading1"/>
        <w:ind w:hanging="0" w:start="0"/>
        <w:rPr/>
      </w:pPr>
      <w:r>
        <w:rPr/>
        <w:t>Education</w:t>
      </w:r>
    </w:p>
    <w:p>
      <w:pPr>
        <w:pStyle w:val="Normal"/>
        <w:widowControl/>
        <w:tabs>
          <w:tab w:val="clear" w:pos="720"/>
          <w:tab w:val="right" w:pos="10440" w:leader="none"/>
        </w:tabs>
        <w:ind w:start="340" w:end="0"/>
        <w:jc w:val="both"/>
        <w:rPr/>
      </w:pPr>
      <w:r>
        <w:rPr>
          <w:rFonts w:ascii="Monotype Sorts" w:hAnsi="Monotype Sorts"/>
          <w:sz w:val="18"/>
        </w:rPr>
        <w:sym w:font="Monotype Sorts" w:char="46"/>
      </w:r>
      <w:r>
        <w:rPr>
          <w:b/>
          <w:sz w:val="18"/>
          <w:u w:val="single"/>
        </w:rPr>
        <w:t>University of Miami, Graduate School of Management</w:t>
      </w:r>
      <w:r>
        <w:rPr>
          <w:sz w:val="18"/>
        </w:rPr>
        <w:tab/>
        <w:t>1985/1987</w:t>
      </w:r>
    </w:p>
    <w:p>
      <w:pPr>
        <w:pStyle w:val="Normal"/>
        <w:widowControl/>
        <w:ind w:start="453" w:end="0"/>
        <w:jc w:val="both"/>
        <w:rPr>
          <w:sz w:val="18"/>
        </w:rPr>
      </w:pPr>
      <w:r>
        <w:rPr>
          <w:sz w:val="18"/>
        </w:rPr>
        <w:t>M.B.A. in International Business, GPA 3.60</w:t>
      </w:r>
    </w:p>
    <w:p>
      <w:pPr>
        <w:pStyle w:val="Normal"/>
        <w:widowControl/>
        <w:tabs>
          <w:tab w:val="clear" w:pos="720"/>
          <w:tab w:val="right" w:pos="10440" w:leader="none"/>
        </w:tabs>
        <w:ind w:start="340" w:end="0"/>
        <w:jc w:val="both"/>
        <w:rPr/>
      </w:pPr>
      <w:r>
        <w:rPr>
          <w:rFonts w:ascii="Monotype Sorts" w:hAnsi="Monotype Sorts"/>
          <w:sz w:val="18"/>
        </w:rPr>
        <w:sym w:font="Monotype Sorts" w:char="46"/>
      </w:r>
      <w:r>
        <w:rPr>
          <w:b/>
          <w:sz w:val="18"/>
          <w:u w:val="single"/>
        </w:rPr>
        <w:t>University of Groningen in The Netherlands</w:t>
      </w:r>
      <w:r>
        <w:rPr>
          <w:sz w:val="18"/>
        </w:rPr>
        <w:tab/>
        <w:t>1971/1975</w:t>
      </w:r>
    </w:p>
    <w:p>
      <w:pPr>
        <w:pStyle w:val="Normal"/>
        <w:widowControl/>
        <w:ind w:start="453" w:end="0"/>
        <w:jc w:val="both"/>
        <w:rPr>
          <w:sz w:val="18"/>
        </w:rPr>
      </w:pPr>
      <w:r>
        <w:rPr>
          <w:sz w:val="18"/>
        </w:rPr>
        <w:t>Bachelor of Science in Chemical Engineering</w:t>
      </w:r>
    </w:p>
    <w:p>
      <w:pPr>
        <w:pStyle w:val="Normal"/>
        <w:widowControl/>
        <w:pBdr>
          <w:top w:val="single" w:sz="6" w:space="0" w:color="000000" w:shadow="1"/>
          <w:left w:val="single" w:sz="6" w:space="1" w:color="000000" w:shadow="1"/>
          <w:bottom w:val="single" w:sz="6" w:space="1" w:color="000000" w:shadow="1"/>
          <w:right w:val="single" w:sz="6" w:space="1" w:color="000000" w:shadow="1"/>
        </w:pBdr>
        <w:rPr>
          <w:sz w:val="2"/>
        </w:rPr>
      </w:pPr>
      <w:r>
        <w:rPr>
          <w:sz w:val="2"/>
        </w:rPr>
      </w:r>
    </w:p>
    <w:p>
      <w:pPr>
        <w:pStyle w:val="Heading1"/>
        <w:ind w:hanging="0" w:start="0"/>
        <w:rPr/>
      </w:pPr>
      <w:r>
        <w:rPr/>
        <w:t>Personals</w:t>
      </w:r>
    </w:p>
    <w:p>
      <w:pPr>
        <w:pStyle w:val="Normal"/>
        <w:ind w:start="360" w:end="0"/>
        <w:rPr/>
      </w:pPr>
      <w:r>
        <w:rPr>
          <w:rFonts w:ascii="Monotype Sorts" w:hAnsi="Monotype Sorts"/>
          <w:sz w:val="18"/>
        </w:rPr>
        <w:sym w:font="Monotype Sorts" w:char="46"/>
      </w:r>
      <w:r>
        <w:rPr>
          <w:sz w:val="18"/>
        </w:rPr>
        <w:t>Born in Aruba, January 4, 1950; US Legal Resident and European Citizen; Married to Ava Davis; Three Adult Children</w:t>
      </w:r>
    </w:p>
    <w:p>
      <w:pPr>
        <w:pStyle w:val="Normal"/>
        <w:widowControl/>
        <w:rPr>
          <w:i/>
          <w:i/>
          <w:sz w:val="16"/>
          <w:u w:val="single"/>
        </w:rPr>
      </w:pPr>
      <w:r>
        <w:rPr>
          <w:i/>
          <w:sz w:val="16"/>
          <w:u w:val="single"/>
        </w:rPr>
      </w:r>
    </w:p>
    <w:p>
      <w:pPr>
        <w:pStyle w:val="Normal"/>
        <w:widowControl/>
        <w:jc w:val="center"/>
        <w:rPr>
          <w:i/>
          <w:i/>
          <w:sz w:val="16"/>
        </w:rPr>
      </w:pPr>
      <w:r>
        <w:rPr>
          <w:i/>
          <w:sz w:val="16"/>
        </w:rPr>
        <w:t>References available upon request</w:t>
      </w:r>
    </w:p>
    <w:sectPr>
      <w:type w:val="nextPage"/>
      <w:pgSz w:w="12240" w:h="15840"/>
      <w:pgMar w:left="965" w:right="792" w:gutter="0" w:header="0" w:top="36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default"/>
  </w:font>
  <w:font w:name="Courier New">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widowControl/>
      <w:numPr>
        <w:ilvl w:val="0"/>
        <w:numId w:val="1"/>
      </w:numPr>
      <w:outlineLvl w:val="0"/>
    </w:pPr>
    <w:rPr>
      <w:b/>
      <w:smallCaps/>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outlineLvl w:val="0"/>
    </w:pPr>
    <w:rPr>
      <w:b/>
      <w:smallCaps/>
      <w:sz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feschie@ei.enron.com" TargetMode="External"/><Relationship Id="rId3" Type="http://schemas.openxmlformats.org/officeDocument/2006/relationships/oleObject" Target="embeddings/oleObject1.bin"/><Relationship Id="rId4" Type="http://schemas.openxmlformats.org/officeDocument/2006/relationships/image" Target="media/image1.wmf"/><Relationship Id="rId5" Type="http://schemas.openxmlformats.org/officeDocument/2006/relationships/oleObject" Target="embeddings/oleObject2.bin"/><Relationship Id="rId6" Type="http://schemas.openxmlformats.org/officeDocument/2006/relationships/image" Target="media/image1.wmf"/><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2000-10-05T20:16:00Z</dcterms:created>
  <dc:creator>Borislav N. Feschiev</dc:creator>
  <dc:description/>
  <dc:language>en-CA</dc:language>
  <cp:lastModifiedBy>Enron Corp</cp:lastModifiedBy>
  <cp:lastPrinted>2000-07-17T13:53:00Z</cp:lastPrinted>
  <dcterms:modified xsi:type="dcterms:W3CDTF">2000-10-05T20:16:00Z</dcterms:modified>
  <cp:revision>2</cp:revision>
  <dc:subject/>
  <dc:title>RESUME</dc:title>
</cp:coreProperties>
</file>