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end="36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080" w:leader="none"/>
          <w:tab w:val="left" w:pos="1699" w:leader="none"/>
          <w:tab w:val="left" w:pos="2700" w:leader="none"/>
          <w:tab w:val="left" w:pos="9720" w:leader="none"/>
        </w:tabs>
        <w:ind w:end="360"/>
        <w:jc w:val="both"/>
        <w:rPr/>
      </w:pPr>
      <w:r>
        <w:rPr>
          <w:b/>
          <w:sz w:val="22"/>
        </w:rPr>
        <w:t>EXPERIENCE:</w:t>
      </w:r>
      <w:r>
        <w:rPr>
          <w:sz w:val="22"/>
        </w:rPr>
        <w:tab/>
      </w:r>
      <w:r>
        <w:rPr>
          <w:b/>
          <w:sz w:val="22"/>
        </w:rPr>
        <w:t xml:space="preserve">Telxon Corporation </w:t>
      </w:r>
      <w:r>
        <w:rPr>
          <w:sz w:val="22"/>
        </w:rPr>
        <w:t>Houston, TX  ‘99- Present (</w:t>
      </w:r>
      <w:r>
        <w:rPr>
          <w:b/>
          <w:i/>
          <w:sz w:val="22"/>
        </w:rPr>
        <w:t>previously with Telxon from ‘95-’97</w:t>
      </w:r>
      <w:r>
        <w:rPr>
          <w:sz w:val="22"/>
        </w:rPr>
        <w:t>)</w:t>
      </w:r>
    </w:p>
    <w:p>
      <w:pPr>
        <w:pStyle w:val="Normal"/>
        <w:tabs>
          <w:tab w:val="clear" w:pos="720"/>
          <w:tab w:val="left" w:pos="1080" w:leader="none"/>
          <w:tab w:val="left" w:pos="1699" w:leader="none"/>
          <w:tab w:val="left" w:pos="2700" w:leader="none"/>
          <w:tab w:val="left" w:pos="9720" w:leader="none"/>
        </w:tabs>
        <w:ind w:end="360"/>
        <w:jc w:val="both"/>
        <w:rPr>
          <w:sz w:val="22"/>
        </w:rPr>
      </w:pPr>
      <w:r>
        <w:rPr>
          <w:sz w:val="22"/>
        </w:rPr>
        <w:tab/>
        <w:tab/>
        <w:t>Director, Intellectual Property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99" w:leader="none"/>
          <w:tab w:val="left" w:pos="2059" w:leader="none"/>
          <w:tab w:val="left" w:pos="2700" w:leader="none"/>
          <w:tab w:val="left" w:pos="9720" w:leader="none"/>
        </w:tabs>
        <w:ind w:hanging="360" w:start="2059" w:end="360"/>
        <w:jc w:val="both"/>
        <w:rPr>
          <w:sz w:val="22"/>
        </w:rPr>
      </w:pPr>
      <w:r>
        <w:rPr>
          <w:sz w:val="22"/>
        </w:rPr>
        <w:t>Prepare, review, and negotiate various technology contracts including licensing agreements, joint venture agreements, partnership agreements, OEM agreements, etc.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99" w:leader="none"/>
          <w:tab w:val="left" w:pos="2059" w:leader="none"/>
          <w:tab w:val="left" w:pos="2700" w:leader="none"/>
          <w:tab w:val="left" w:pos="9720" w:leader="none"/>
        </w:tabs>
        <w:ind w:hanging="360" w:start="2059" w:end="360"/>
        <w:jc w:val="both"/>
        <w:rPr>
          <w:sz w:val="22"/>
        </w:rPr>
      </w:pPr>
      <w:r>
        <w:rPr>
          <w:sz w:val="22"/>
        </w:rPr>
        <w:t>Responsible for all patent, copyright, and trademark matters including: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hanging="360" w:start="3064" w:end="360"/>
        <w:jc w:val="both"/>
        <w:rPr>
          <w:sz w:val="22"/>
        </w:rPr>
      </w:pPr>
      <w:r>
        <w:rPr>
          <w:sz w:val="22"/>
        </w:rPr>
        <w:t>In charge of strategy and support for all intellectual property litigation matters including: Telxon v. 3Com &amp; Palm;  Telxon v. Lemelson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hanging="360" w:start="3064" w:end="360"/>
        <w:jc w:val="both"/>
        <w:rPr>
          <w:sz w:val="22"/>
        </w:rPr>
      </w:pPr>
      <w:r>
        <w:rPr>
          <w:sz w:val="22"/>
        </w:rPr>
        <w:t>Facilitating invention harvesting, review, and patent filing process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hanging="360" w:start="3064" w:end="360"/>
        <w:jc w:val="both"/>
        <w:rPr>
          <w:sz w:val="22"/>
        </w:rPr>
      </w:pPr>
      <w:r>
        <w:rPr>
          <w:sz w:val="22"/>
        </w:rPr>
        <w:t>Monitoring competitors patent portfolios and new product announcements for patents infringement issues and taking appropriate action as needed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hanging="360" w:start="3064" w:end="360"/>
        <w:jc w:val="both"/>
        <w:rPr>
          <w:sz w:val="22"/>
        </w:rPr>
      </w:pPr>
      <w:r>
        <w:rPr>
          <w:sz w:val="22"/>
        </w:rPr>
        <w:t>Securing and protecting domestic and foreign trademark rights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99" w:leader="none"/>
          <w:tab w:val="left" w:pos="2059" w:leader="none"/>
          <w:tab w:val="left" w:pos="2700" w:leader="none"/>
          <w:tab w:val="left" w:pos="9720" w:leader="none"/>
        </w:tabs>
        <w:ind w:hanging="360" w:start="2059" w:end="360"/>
        <w:jc w:val="both"/>
        <w:rPr>
          <w:sz w:val="22"/>
        </w:rPr>
      </w:pPr>
      <w:r>
        <w:rPr>
          <w:sz w:val="22"/>
        </w:rPr>
        <w:t xml:space="preserve">Presented to the FTC to gain clearance for merger under the Hart-Scott-Rodino Antitrust Improvements Act of 1976 and performed associated M&amp;A due diligence </w:t>
      </w:r>
    </w:p>
    <w:p>
      <w:pPr>
        <w:pStyle w:val="Normal"/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start="1699" w:end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080" w:leader="none"/>
          <w:tab w:val="left" w:pos="1699" w:leader="none"/>
          <w:tab w:val="left" w:pos="2700" w:leader="none"/>
          <w:tab w:val="left" w:pos="9720" w:leader="none"/>
        </w:tabs>
        <w:ind w:end="360"/>
        <w:jc w:val="both"/>
        <w:rPr/>
      </w:pPr>
      <w:r>
        <w:rPr>
          <w:sz w:val="22"/>
        </w:rPr>
        <w:tab/>
        <w:tab/>
      </w:r>
      <w:r>
        <w:rPr>
          <w:b/>
          <w:sz w:val="22"/>
        </w:rPr>
        <w:t xml:space="preserve">Renner, Otto, Boisselle &amp; Sklar </w:t>
      </w:r>
      <w:r>
        <w:rPr>
          <w:sz w:val="22"/>
        </w:rPr>
        <w:t>Cleveland, OH  ‘98-‘99</w:t>
      </w:r>
    </w:p>
    <w:p>
      <w:pPr>
        <w:pStyle w:val="Normal"/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end="360"/>
        <w:jc w:val="both"/>
        <w:rPr>
          <w:sz w:val="22"/>
        </w:rPr>
      </w:pPr>
      <w:r>
        <w:rPr>
          <w:sz w:val="22"/>
        </w:rPr>
        <w:tab/>
        <w:t xml:space="preserve">Associate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hanging="360" w:start="2059" w:end="360"/>
        <w:jc w:val="both"/>
        <w:rPr>
          <w:sz w:val="22"/>
        </w:rPr>
      </w:pPr>
      <w:r>
        <w:rPr>
          <w:sz w:val="22"/>
        </w:rPr>
        <w:t xml:space="preserve">Prepared and prosecuted patent applications in the electrical arts including a number of software and business method patent applications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hanging="360" w:start="2059" w:end="360"/>
        <w:jc w:val="both"/>
        <w:rPr>
          <w:sz w:val="22"/>
        </w:rPr>
      </w:pPr>
      <w:r>
        <w:rPr>
          <w:sz w:val="22"/>
        </w:rPr>
        <w:t>Drafted motions and briefs for various patent litigation matters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hanging="360" w:start="2059" w:end="360"/>
        <w:jc w:val="both"/>
        <w:rPr>
          <w:sz w:val="22"/>
        </w:rPr>
      </w:pPr>
      <w:r>
        <w:rPr>
          <w:sz w:val="22"/>
        </w:rPr>
        <w:t>Resided in Japan for several months in order to service international clients and train Japanese associates on U.S. patent practice</w:t>
      </w:r>
    </w:p>
    <w:p>
      <w:pPr>
        <w:pStyle w:val="Normal"/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start="1699" w:end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080" w:leader="none"/>
          <w:tab w:val="left" w:pos="1699" w:leader="none"/>
          <w:tab w:val="left" w:pos="2700" w:leader="none"/>
          <w:tab w:val="left" w:pos="9720" w:leader="none"/>
        </w:tabs>
        <w:ind w:end="360"/>
        <w:jc w:val="both"/>
        <w:rPr/>
      </w:pPr>
      <w:r>
        <w:rPr>
          <w:sz w:val="22"/>
        </w:rPr>
        <w:tab/>
        <w:tab/>
      </w:r>
      <w:r>
        <w:rPr>
          <w:b/>
          <w:sz w:val="22"/>
        </w:rPr>
        <w:t xml:space="preserve">Picker International, Inc. </w:t>
      </w:r>
      <w:r>
        <w:rPr>
          <w:sz w:val="22"/>
        </w:rPr>
        <w:t>Cleveland, OH  ‘97</w:t>
      </w:r>
    </w:p>
    <w:p>
      <w:pPr>
        <w:pStyle w:val="Normal"/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end="360"/>
        <w:jc w:val="both"/>
        <w:rPr>
          <w:sz w:val="22"/>
        </w:rPr>
      </w:pPr>
      <w:r>
        <w:rPr>
          <w:sz w:val="22"/>
        </w:rPr>
        <w:tab/>
        <w:t>Patent Attorney</w:t>
        <w:tab/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hanging="360" w:start="2059" w:end="360"/>
        <w:jc w:val="both"/>
        <w:rPr>
          <w:sz w:val="22"/>
        </w:rPr>
      </w:pPr>
      <w:r>
        <w:rPr>
          <w:sz w:val="22"/>
        </w:rPr>
        <w:t>Drafted and negotiated contracts related to technology licensing, joint development agreements, non-disclosure agreements (NDA’s), purchasing agreements, etc.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hanging="360" w:start="2059" w:end="360"/>
        <w:jc w:val="both"/>
        <w:rPr>
          <w:sz w:val="22"/>
        </w:rPr>
      </w:pPr>
      <w:r>
        <w:rPr>
          <w:sz w:val="22"/>
        </w:rPr>
        <w:t xml:space="preserve">Analyzed claims of patent infringement and prepared non-infringement opinion letters    </w:t>
      </w:r>
    </w:p>
    <w:p>
      <w:pPr>
        <w:pStyle w:val="Normal"/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end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end="360"/>
        <w:jc w:val="both"/>
        <w:rPr/>
      </w:pPr>
      <w:r>
        <w:rPr>
          <w:sz w:val="22"/>
        </w:rPr>
        <w:tab/>
      </w:r>
      <w:r>
        <w:rPr>
          <w:b/>
          <w:sz w:val="22"/>
        </w:rPr>
        <w:t xml:space="preserve">Telxon Corporation </w:t>
      </w:r>
      <w:r>
        <w:rPr>
          <w:sz w:val="22"/>
        </w:rPr>
        <w:t>Cleveland, OH ‘95-97</w:t>
      </w:r>
    </w:p>
    <w:p>
      <w:pPr>
        <w:pStyle w:val="Normal"/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end="360"/>
        <w:jc w:val="both"/>
        <w:rPr>
          <w:sz w:val="22"/>
        </w:rPr>
      </w:pPr>
      <w:r>
        <w:rPr>
          <w:sz w:val="22"/>
        </w:rPr>
        <w:tab/>
        <w:t>Patent Attorney (see above)</w:t>
      </w:r>
    </w:p>
    <w:p>
      <w:pPr>
        <w:pStyle w:val="Normal"/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end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end="360"/>
        <w:jc w:val="both"/>
        <w:rPr/>
      </w:pPr>
      <w:r>
        <w:rPr>
          <w:b/>
          <w:sz w:val="22"/>
        </w:rPr>
        <w:t xml:space="preserve">EDUCATION: </w:t>
      </w:r>
      <w:r>
        <w:rPr>
          <w:sz w:val="22"/>
        </w:rPr>
        <w:t xml:space="preserve">    </w:t>
      </w:r>
      <w:r>
        <w:rPr>
          <w:b/>
          <w:sz w:val="22"/>
        </w:rPr>
        <w:t>Case Western Reserve University School of Law</w:t>
      </w:r>
      <w:r>
        <w:rPr>
          <w:sz w:val="22"/>
        </w:rPr>
        <w:t>, Cleveland, OH</w:t>
      </w:r>
    </w:p>
    <w:p>
      <w:pPr>
        <w:pStyle w:val="Normal"/>
        <w:tabs>
          <w:tab w:val="clear" w:pos="720"/>
          <w:tab w:val="left" w:pos="1080" w:leader="none"/>
          <w:tab w:val="left" w:pos="1699" w:leader="none"/>
          <w:tab w:val="left" w:pos="2700" w:leader="none"/>
          <w:tab w:val="left" w:pos="9720" w:leader="none"/>
        </w:tabs>
        <w:ind w:end="360"/>
        <w:jc w:val="both"/>
        <w:rPr>
          <w:sz w:val="22"/>
        </w:rPr>
      </w:pPr>
      <w:r>
        <w:rPr>
          <w:sz w:val="22"/>
        </w:rPr>
        <w:tab/>
        <w:tab/>
        <w:t xml:space="preserve">J.D., Graduated May '95 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  <w:tab w:val="left" w:pos="1699" w:leader="none"/>
          <w:tab w:val="left" w:pos="2700" w:leader="none"/>
          <w:tab w:val="left" w:pos="9720" w:leader="none"/>
        </w:tabs>
        <w:ind w:hanging="360" w:start="2055" w:end="360"/>
        <w:jc w:val="both"/>
        <w:rPr>
          <w:sz w:val="22"/>
        </w:rPr>
      </w:pPr>
      <w:r>
        <w:rPr>
          <w:sz w:val="22"/>
        </w:rPr>
        <w:t>Dean’s List (multiple semesters)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  <w:tab w:val="left" w:pos="1699" w:leader="none"/>
          <w:tab w:val="left" w:pos="2700" w:leader="none"/>
          <w:tab w:val="left" w:pos="9720" w:leader="none"/>
        </w:tabs>
        <w:ind w:hanging="360" w:start="2055" w:end="360"/>
        <w:jc w:val="both"/>
        <w:rPr>
          <w:sz w:val="22"/>
        </w:rPr>
      </w:pPr>
      <w:r>
        <w:rPr>
          <w:sz w:val="22"/>
        </w:rPr>
        <w:t xml:space="preserve">President and founder of the Intellectual Property Law Association at CWRU </w:t>
      </w:r>
    </w:p>
    <w:p>
      <w:pPr>
        <w:pStyle w:val="Normal"/>
        <w:tabs>
          <w:tab w:val="clear" w:pos="720"/>
          <w:tab w:val="left" w:pos="1080" w:leader="none"/>
          <w:tab w:val="left" w:pos="1699" w:leader="none"/>
          <w:tab w:val="left" w:pos="2700" w:leader="none"/>
          <w:tab w:val="left" w:pos="9720" w:leader="none"/>
        </w:tabs>
        <w:ind w:start="2055" w:end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080" w:leader="none"/>
          <w:tab w:val="left" w:pos="1699" w:leader="none"/>
          <w:tab w:val="left" w:pos="2700" w:leader="none"/>
          <w:tab w:val="left" w:pos="9720" w:leader="none"/>
        </w:tabs>
        <w:ind w:end="360"/>
        <w:jc w:val="both"/>
        <w:rPr/>
      </w:pPr>
      <w:r>
        <w:rPr>
          <w:sz w:val="22"/>
        </w:rPr>
        <w:tab/>
        <w:tab/>
      </w:r>
      <w:r>
        <w:rPr>
          <w:b/>
          <w:sz w:val="22"/>
        </w:rPr>
        <w:t>The Ohio State University</w:t>
      </w:r>
      <w:r>
        <w:rPr>
          <w:sz w:val="22"/>
        </w:rPr>
        <w:t>, Columbus, OH</w:t>
      </w:r>
    </w:p>
    <w:p>
      <w:pPr>
        <w:pStyle w:val="Normal"/>
        <w:tabs>
          <w:tab w:val="clear" w:pos="720"/>
          <w:tab w:val="left" w:pos="1080" w:leader="none"/>
          <w:tab w:val="left" w:pos="1699" w:leader="none"/>
          <w:tab w:val="left" w:pos="2700" w:leader="none"/>
          <w:tab w:val="left" w:pos="9720" w:leader="none"/>
        </w:tabs>
        <w:ind w:end="360"/>
        <w:jc w:val="both"/>
        <w:rPr>
          <w:sz w:val="22"/>
        </w:rPr>
      </w:pPr>
      <w:r>
        <w:rPr>
          <w:sz w:val="22"/>
        </w:rPr>
        <w:tab/>
        <w:tab/>
        <w:t>B.S., Electrical Engineering with Computer Option, Graduated June '92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699" w:leader="none"/>
          <w:tab w:val="left" w:pos="2055" w:leader="none"/>
          <w:tab w:val="left" w:pos="2700" w:leader="none"/>
          <w:tab w:val="left" w:pos="9720" w:leader="none"/>
        </w:tabs>
        <w:ind w:hanging="360" w:start="2055" w:end="360"/>
        <w:jc w:val="both"/>
        <w:rPr>
          <w:b/>
          <w:sz w:val="22"/>
        </w:rPr>
      </w:pPr>
      <w:r>
        <w:rPr>
          <w:sz w:val="22"/>
        </w:rPr>
        <w:t>Eta Kappa Nu &amp; Tau Beta Pi Honor Societies; President of IEEE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699" w:leader="none"/>
          <w:tab w:val="left" w:pos="2055" w:leader="none"/>
          <w:tab w:val="left" w:pos="2700" w:leader="none"/>
          <w:tab w:val="left" w:pos="9720" w:leader="none"/>
        </w:tabs>
        <w:ind w:hanging="360" w:start="2055" w:end="360"/>
        <w:jc w:val="both"/>
        <w:rPr>
          <w:b/>
          <w:sz w:val="22"/>
        </w:rPr>
      </w:pPr>
      <w:r>
        <w:rPr>
          <w:b/>
          <w:sz w:val="22"/>
        </w:rPr>
        <w:t xml:space="preserve">IBM </w:t>
      </w:r>
      <w:r>
        <w:rPr>
          <w:sz w:val="22"/>
        </w:rPr>
        <w:t xml:space="preserve"> Boca Raton, FL 1/90-8/90  - Electrical Engineering Co-op </w:t>
      </w:r>
    </w:p>
    <w:p>
      <w:pPr>
        <w:pStyle w:val="Normal"/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start="1695" w:end="36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end="360"/>
        <w:jc w:val="both"/>
        <w:rPr/>
      </w:pPr>
      <w:r>
        <w:rPr>
          <w:b/>
          <w:sz w:val="22"/>
        </w:rPr>
        <w:t>LEGAL</w:t>
      </w:r>
      <w:r>
        <w:rPr>
          <w:sz w:val="22"/>
        </w:rPr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 Licensed to practice law in the state of Ohio </w:t>
      </w:r>
    </w:p>
    <w:p>
      <w:pPr>
        <w:pStyle w:val="Normal"/>
        <w:tabs>
          <w:tab w:val="clear" w:pos="720"/>
          <w:tab w:val="left" w:pos="1699" w:leader="none"/>
          <w:tab w:val="left" w:pos="2070" w:leader="none"/>
          <w:tab w:val="left" w:pos="9720" w:leader="none"/>
        </w:tabs>
        <w:ind w:end="360"/>
        <w:jc w:val="both"/>
        <w:rPr>
          <w:b/>
          <w:sz w:val="22"/>
        </w:rPr>
      </w:pPr>
      <w:r>
        <w:rPr>
          <w:b/>
          <w:sz w:val="22"/>
        </w:rPr>
        <w:t>LICENSES:</w:t>
      </w:r>
      <w:r>
        <w:rPr>
          <w:sz w:val="22"/>
        </w:rPr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ab/>
        <w:t>Registered to practice before the United States Patent and Trademark Office</w:t>
      </w:r>
    </w:p>
    <w:p>
      <w:pPr>
        <w:pStyle w:val="Normal"/>
        <w:tabs>
          <w:tab w:val="clear" w:pos="720"/>
          <w:tab w:val="left" w:pos="1699" w:leader="none"/>
          <w:tab w:val="left" w:pos="2700" w:leader="none"/>
          <w:tab w:val="left" w:pos="9720" w:leader="none"/>
        </w:tabs>
        <w:ind w:end="36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99" w:leader="none"/>
          <w:tab w:val="left" w:pos="9720" w:leader="none"/>
        </w:tabs>
        <w:ind w:hanging="2055" w:start="2070" w:end="360"/>
        <w:jc w:val="both"/>
        <w:rPr/>
      </w:pPr>
      <w:r>
        <w:rPr>
          <w:b/>
          <w:sz w:val="22"/>
        </w:rPr>
        <w:t>ACTIVITIES:</w:t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ab/>
        <w:t xml:space="preserve">Member of the American Intellectual Property Law Association (AIPLA)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699" w:leader="none"/>
          <w:tab w:val="left" w:pos="2059" w:leader="none"/>
          <w:tab w:val="left" w:pos="2700" w:leader="none"/>
          <w:tab w:val="left" w:pos="9720" w:leader="none"/>
        </w:tabs>
        <w:ind w:hanging="360" w:start="2059" w:end="360"/>
        <w:jc w:val="both"/>
        <w:rPr>
          <w:sz w:val="22"/>
        </w:rPr>
      </w:pPr>
      <w:r>
        <w:rPr>
          <w:sz w:val="22"/>
        </w:rPr>
        <w:t>Enjoy golf, tennis, biking, swimming</w:t>
      </w:r>
    </w:p>
    <w:sectPr>
      <w:headerReference w:type="default" r:id="rId2"/>
      <w:headerReference w:type="first" r:id="rId3"/>
      <w:type w:val="nextPage"/>
      <w:pgSz w:w="12240" w:h="15840"/>
      <w:pgMar w:left="1080" w:right="1080" w:gutter="0" w:header="720" w:top="776" w:footer="0" w:bottom="93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  <w:sz w:val="24"/>
      </w:rPr>
    </w:pPr>
    <w:r>
      <w:rPr>
        <w:b/>
        <w:sz w:val="30"/>
      </w:rPr>
      <w:t>Nainesh P. Shah</w:t>
    </w:r>
  </w:p>
  <w:p>
    <w:pPr>
      <w:pStyle w:val="Header"/>
      <w:jc w:val="center"/>
      <w:rPr>
        <w:sz w:val="22"/>
      </w:rPr>
    </w:pPr>
    <w:r>
      <w:rPr>
        <w:sz w:val="22"/>
      </w:rPr>
      <w:t>45 Pebble Hollow Court</w:t>
    </w:r>
  </w:p>
  <w:p>
    <w:pPr>
      <w:pStyle w:val="Header"/>
      <w:jc w:val="center"/>
      <w:rPr>
        <w:b/>
        <w:sz w:val="22"/>
      </w:rPr>
    </w:pPr>
    <w:r>
      <w:rPr>
        <w:sz w:val="22"/>
      </w:rPr>
      <w:t>The Woodlands, TX 77381</w:t>
    </w:r>
  </w:p>
  <w:p>
    <w:pPr>
      <w:pStyle w:val="Header"/>
      <w:jc w:val="center"/>
      <w:rPr>
        <w:sz w:val="22"/>
      </w:rPr>
    </w:pPr>
    <w:r>
      <w:rPr>
        <w:rFonts w:eastAsia="Tms Rmn;Times New Roman"/>
        <w:sz w:val="22"/>
      </w:rPr>
      <w:t xml:space="preserve"> </w:t>
    </w:r>
    <w:r>
      <w:rPr>
        <w:sz w:val="22"/>
      </w:rPr>
      <w:t>Home (281) 292-4257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281"/>
      <w:numFmt w:val="bullet"/>
      <w:lvlText w:val="-"/>
      <w:lvlJc w:val="start"/>
      <w:pPr>
        <w:tabs>
          <w:tab w:val="num" w:pos="3064"/>
        </w:tabs>
        <w:ind w:start="3064" w:hanging="360"/>
      </w:pPr>
      <w:rPr>
        <w:rFonts w:ascii="Times New Roman" w:hAnsi="Times New Roman" w:cs="Times New Roman" w:hint="default"/>
      </w:rPr>
    </w:lvl>
  </w:abstractNum>
  <w:abstractNum w:abstractNumId="4">
    <w:lvl w:ilvl="0">
      <w:start w:val="10"/>
      <w:numFmt w:val="bullet"/>
      <w:lvlText w:val=""/>
      <w:lvlJc w:val="start"/>
      <w:pPr>
        <w:tabs>
          <w:tab w:val="num" w:pos="2055"/>
        </w:tabs>
        <w:ind w:start="2055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2"/>
      <w:numFmt w:val="bullet"/>
      <w:lvlText w:val=""/>
      <w:lvlJc w:val="start"/>
      <w:pPr>
        <w:tabs>
          <w:tab w:val="num" w:pos="2059"/>
        </w:tabs>
        <w:ind w:start="2059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ms Rmn;Times New Roman" w:hAnsi="Tms Rmn;Times New Roman" w:eastAsia="Times New Roman" w:cs="Tms Rmn;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080" w:leader="none"/>
        <w:tab w:val="left" w:pos="1699" w:leader="none"/>
        <w:tab w:val="left" w:pos="2700" w:leader="none"/>
        <w:tab w:val="left" w:pos="9720" w:leader="none"/>
      </w:tabs>
      <w:ind w:hanging="0" w:start="0" w:end="360"/>
      <w:jc w:val="both"/>
      <w:outlineLvl w:val="0"/>
    </w:pPr>
    <w:rPr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2001-01-15T12:56:00Z</dcterms:created>
  <dc:creator>nps</dc:creator>
  <dc:description/>
  <dc:language>en-CA</dc:language>
  <cp:lastModifiedBy>Arthur Andersen</cp:lastModifiedBy>
  <cp:lastPrinted>2000-07-30T18:57:00Z</cp:lastPrinted>
  <dcterms:modified xsi:type="dcterms:W3CDTF">2001-01-15T12:56:00Z</dcterms:modified>
  <cp:revision>2</cp:revision>
  <dc:subject/>
  <dc:title>EXPERIENCE:</dc:title>
</cp:coreProperties>
</file>