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clear" w:pos="720"/>
          <w:tab w:val="left" w:pos="360" w:leader="none"/>
        </w:tabs>
        <w:rPr>
          <w:b w:val="false"/>
          <w:sz w:val="20"/>
        </w:rPr>
      </w:pPr>
      <w:r>
        <w:rPr>
          <w:sz w:val="20"/>
        </w:rPr>
        <w:t>ADITYA (EDWARD) DIVGI</w:t>
      </w:r>
    </w:p>
    <w:p>
      <w:pPr>
        <w:pStyle w:val="Heading"/>
        <w:tabs>
          <w:tab w:val="clear" w:pos="720"/>
          <w:tab w:val="left" w:pos="360" w:leader="none"/>
        </w:tabs>
        <w:rPr>
          <w:b w:val="false"/>
          <w:sz w:val="20"/>
        </w:rPr>
      </w:pPr>
      <w:r>
        <w:rPr>
          <w:b w:val="false"/>
          <w:sz w:val="20"/>
        </w:rPr>
        <w:t>Box 0126, 3900 Walnut Street, Philadelphia PA  19104</w:t>
      </w:r>
    </w:p>
    <w:p>
      <w:pPr>
        <w:pStyle w:val="Heading"/>
        <w:tabs>
          <w:tab w:val="clear" w:pos="720"/>
          <w:tab w:val="left" w:pos="360" w:leader="none"/>
        </w:tabs>
        <w:rPr>
          <w:b w:val="false"/>
          <w:sz w:val="20"/>
        </w:rPr>
      </w:pPr>
      <w:r>
        <w:rPr>
          <w:b w:val="false"/>
          <w:sz w:val="20"/>
        </w:rPr>
        <w:t>Cell (917) 453-5369</w:t>
        <w:tab/>
        <w:t>Home (215) 417-8513</w:t>
      </w:r>
    </w:p>
    <w:p>
      <w:pPr>
        <w:pStyle w:val="Heading"/>
        <w:tabs>
          <w:tab w:val="clear" w:pos="720"/>
          <w:tab w:val="left" w:pos="360" w:leader="none"/>
        </w:tabs>
        <w:rPr>
          <w:b w:val="false"/>
          <w:sz w:val="20"/>
        </w:rPr>
      </w:pPr>
      <w:r>
        <w:rPr>
          <w:b w:val="false"/>
          <w:sz w:val="20"/>
        </w:rPr>
        <w:t>Aditya.Divgi.wg02@wharton.upenn.edu</w:t>
      </w:r>
    </w:p>
    <w:p>
      <w:pPr>
        <w:pStyle w:val="Normal"/>
        <w:widowControl w:val="false"/>
        <w:tabs>
          <w:tab w:val="clear" w:pos="720"/>
          <w:tab w:val="left" w:pos="360" w:leader="none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Heading4"/>
        <w:tabs>
          <w:tab w:val="clear" w:pos="720"/>
          <w:tab w:val="clear" w:pos="7920"/>
          <w:tab w:val="left" w:pos="-1440" w:leader="none"/>
          <w:tab w:val="left" w:pos="360" w:leader="none"/>
        </w:tabs>
        <w:ind w:hanging="0" w:start="0"/>
        <w:jc w:val="center"/>
        <w:rPr/>
      </w:pPr>
      <w:r>
        <w:rPr/>
        <w:t>EDUCATION</w:t>
      </w:r>
    </w:p>
    <w:p>
      <w:pPr>
        <w:pStyle w:val="Normal"/>
        <w:widowControl w:val="false"/>
        <w:tabs>
          <w:tab w:val="clear" w:pos="720"/>
          <w:tab w:val="left" w:pos="9360" w:leader="none"/>
        </w:tabs>
        <w:rPr/>
      </w:pPr>
      <w:r>
        <w:rPr>
          <w:b/>
          <w:sz w:val="20"/>
        </w:rPr>
        <w:t>THE WHARTON SCHOOL, University of Pennsylvania</w:t>
        <w:tab/>
        <w:t xml:space="preserve"> </w:t>
      </w:r>
      <w:r>
        <w:rPr>
          <w:sz w:val="20"/>
        </w:rPr>
        <w:t>Philadelphia, PA</w:t>
      </w:r>
    </w:p>
    <w:p>
      <w:pPr>
        <w:pStyle w:val="Normal"/>
        <w:widowControl w:val="false"/>
        <w:tabs>
          <w:tab w:val="clear" w:pos="720"/>
          <w:tab w:val="left" w:pos="9900" w:leader="none"/>
        </w:tabs>
        <w:rPr/>
      </w:pPr>
      <w:r>
        <w:rPr>
          <w:b/>
          <w:sz w:val="20"/>
        </w:rPr>
        <w:t>Candidate for Masters of Business Administration in Finance and Private Equity</w:t>
        <w:tab/>
        <w:t xml:space="preserve"> </w:t>
      </w:r>
      <w:r>
        <w:rPr>
          <w:sz w:val="20"/>
        </w:rPr>
        <w:t>May 2002</w:t>
      </w:r>
    </w:p>
    <w:p>
      <w:pPr>
        <w:pStyle w:val="Normal"/>
        <w:widowControl w:val="false"/>
        <w:numPr>
          <w:ilvl w:val="0"/>
          <w:numId w:val="11"/>
        </w:numPr>
        <w:rPr>
          <w:b/>
          <w:sz w:val="20"/>
        </w:rPr>
      </w:pPr>
      <w:r>
        <w:rPr>
          <w:sz w:val="20"/>
        </w:rPr>
        <w:t xml:space="preserve">Selected to submatriculate into the Wharton Graduate Program; </w:t>
      </w:r>
      <w:r>
        <w:rPr>
          <w:b/>
          <w:sz w:val="20"/>
        </w:rPr>
        <w:t>GMAT score 720</w:t>
      </w:r>
      <w:r>
        <w:rPr>
          <w:sz w:val="20"/>
        </w:rPr>
        <w:t>.</w:t>
      </w:r>
    </w:p>
    <w:p>
      <w:pPr>
        <w:pStyle w:val="Normal"/>
        <w:widowControl w:val="false"/>
        <w:numPr>
          <w:ilvl w:val="0"/>
          <w:numId w:val="11"/>
        </w:numPr>
        <w:rPr>
          <w:b/>
          <w:sz w:val="20"/>
        </w:rPr>
      </w:pPr>
      <w:r>
        <w:rPr>
          <w:sz w:val="20"/>
        </w:rPr>
        <w:t>Teaching Assistant: Principles of Corporate Finance &amp; Fundamentals of Managerial Accounting.</w:t>
      </w:r>
    </w:p>
    <w:p>
      <w:pPr>
        <w:pStyle w:val="Normal"/>
        <w:widowControl w:val="false"/>
        <w:numPr>
          <w:ilvl w:val="0"/>
          <w:numId w:val="11"/>
        </w:numPr>
        <w:rPr>
          <w:b/>
          <w:sz w:val="20"/>
        </w:rPr>
      </w:pPr>
      <w:r>
        <w:rPr>
          <w:sz w:val="20"/>
        </w:rPr>
        <w:t>Finalist in 2001 Wharton Business Plan Competition: Top 8 out of 185 entrants.</w:t>
      </w:r>
    </w:p>
    <w:p>
      <w:pPr>
        <w:pStyle w:val="Normal"/>
        <w:widowControl w:val="false"/>
        <w:numPr>
          <w:ilvl w:val="0"/>
          <w:numId w:val="11"/>
        </w:numPr>
        <w:rPr>
          <w:b/>
          <w:sz w:val="20"/>
        </w:rPr>
      </w:pPr>
      <w:r>
        <w:rPr>
          <w:sz w:val="20"/>
        </w:rPr>
        <w:t>Student Coordinator for 2001 European Union Global Immersion Program.</w:t>
      </w:r>
    </w:p>
    <w:p>
      <w:pPr>
        <w:pStyle w:val="Normal"/>
        <w:widowControl w:val="false"/>
        <w:numPr>
          <w:ilvl w:val="0"/>
          <w:numId w:val="11"/>
        </w:numPr>
        <w:rPr>
          <w:b/>
          <w:sz w:val="20"/>
        </w:rPr>
      </w:pPr>
      <w:r>
        <w:rPr>
          <w:sz w:val="20"/>
        </w:rPr>
        <w:t>Director of 2001 Wharton Welcome Weekend Theme Party and First Year Cohort Photo Committee for Yearbook.</w:t>
      </w:r>
    </w:p>
    <w:p>
      <w:pPr>
        <w:pStyle w:val="Normal"/>
        <w:widowControl w:val="false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widowControl w:val="false"/>
        <w:tabs>
          <w:tab w:val="clear" w:pos="720"/>
          <w:tab w:val="left" w:pos="9360" w:leader="none"/>
        </w:tabs>
        <w:rPr/>
      </w:pPr>
      <w:r>
        <w:rPr>
          <w:b/>
          <w:sz w:val="20"/>
        </w:rPr>
        <w:t>THE WHARTON SCHOOL &amp; COLLEGE OF ARTS AND SCIENCES, University of Pennsylvania</w:t>
        <w:tab/>
        <w:t xml:space="preserve"> </w:t>
      </w:r>
      <w:r>
        <w:rPr>
          <w:sz w:val="20"/>
        </w:rPr>
        <w:t>Philadelphia, PA</w:t>
      </w:r>
    </w:p>
    <w:p>
      <w:pPr>
        <w:pStyle w:val="Normal"/>
        <w:widowControl w:val="false"/>
        <w:tabs>
          <w:tab w:val="clear" w:pos="720"/>
          <w:tab w:val="left" w:pos="9900" w:leader="none"/>
        </w:tabs>
        <w:rPr>
          <w:b/>
          <w:sz w:val="20"/>
        </w:rPr>
      </w:pPr>
      <w:r>
        <w:rPr>
          <w:b/>
          <w:sz w:val="20"/>
        </w:rPr>
        <w:t>Joint-Degree Candidate for BS in Economics and BA in International Studies</w:t>
        <w:tab/>
        <w:t xml:space="preserve"> </w:t>
      </w:r>
      <w:r>
        <w:rPr>
          <w:sz w:val="20"/>
        </w:rPr>
        <w:t>May 2001</w:t>
      </w:r>
    </w:p>
    <w:p>
      <w:pPr>
        <w:pStyle w:val="Normal"/>
        <w:widowControl w:val="false"/>
        <w:tabs>
          <w:tab w:val="clear" w:pos="720"/>
          <w:tab w:val="left" w:pos="9900" w:leader="none"/>
        </w:tabs>
        <w:rPr>
          <w:b/>
          <w:sz w:val="20"/>
        </w:rPr>
      </w:pPr>
      <w:r>
        <w:rPr>
          <w:b/>
          <w:sz w:val="20"/>
        </w:rPr>
        <w:t>Huntsman Program in International Studies and Business</w:t>
      </w:r>
    </w:p>
    <w:p>
      <w:pPr>
        <w:pStyle w:val="Normal"/>
        <w:widowControl w:val="false"/>
        <w:numPr>
          <w:ilvl w:val="0"/>
          <w:numId w:val="3"/>
        </w:numPr>
        <w:rPr>
          <w:sz w:val="20"/>
        </w:rPr>
      </w:pPr>
      <w:r>
        <w:rPr>
          <w:sz w:val="20"/>
        </w:rPr>
        <w:t>Concentration in Finance, Minor in Spanish.</w:t>
      </w:r>
    </w:p>
    <w:p>
      <w:pPr>
        <w:pStyle w:val="Normal"/>
        <w:widowControl w:val="false"/>
        <w:numPr>
          <w:ilvl w:val="0"/>
          <w:numId w:val="4"/>
        </w:numPr>
        <w:rPr>
          <w:sz w:val="20"/>
        </w:rPr>
      </w:pPr>
      <w:r>
        <w:rPr>
          <w:sz w:val="20"/>
        </w:rPr>
        <w:t>Cumulative GPA:</w:t>
      </w:r>
      <w:r>
        <w:rPr>
          <w:i/>
          <w:sz w:val="20"/>
        </w:rPr>
        <w:t xml:space="preserve"> </w:t>
      </w:r>
      <w:r>
        <w:rPr>
          <w:sz w:val="20"/>
        </w:rPr>
        <w:t>3.6 / 4.0; Benjamin Franklin Scholar, Sokol Gymnastics National Merit Award Winner.</w:t>
      </w:r>
    </w:p>
    <w:p>
      <w:pPr>
        <w:pStyle w:val="Normal"/>
        <w:widowControl w:val="false"/>
        <w:ind w:firstLine="360" w:start="36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widowControl w:val="false"/>
        <w:tabs>
          <w:tab w:val="clear" w:pos="720"/>
          <w:tab w:val="left" w:pos="9450" w:leader="none"/>
        </w:tabs>
        <w:rPr/>
      </w:pPr>
      <w:r>
        <w:rPr>
          <w:b/>
          <w:sz w:val="20"/>
        </w:rPr>
        <w:t>UNIVERSIDAD AUTÓNOMA DE MADRID, Department of Arts and Letters</w:t>
        <w:tab/>
        <w:t xml:space="preserve"> </w:t>
      </w:r>
      <w:r>
        <w:rPr>
          <w:sz w:val="20"/>
        </w:rPr>
        <w:t>Madrid, SPAIN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20"/>
          <w:tab w:val="left" w:pos="9810" w:leader="none"/>
        </w:tabs>
        <w:rPr>
          <w:sz w:val="20"/>
        </w:rPr>
      </w:pPr>
      <w:r>
        <w:rPr>
          <w:sz w:val="20"/>
        </w:rPr>
        <w:t>Coursework included: Franquismo; Contemporary Spain; History of 20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Century Spain.</w:t>
        <w:tab/>
        <w:t>Spring 2000</w:t>
      </w:r>
    </w:p>
    <w:p>
      <w:pPr>
        <w:pStyle w:val="Normal"/>
        <w:widowControl w:val="false"/>
        <w:numPr>
          <w:ilvl w:val="0"/>
          <w:numId w:val="9"/>
        </w:numPr>
        <w:rPr>
          <w:sz w:val="20"/>
        </w:rPr>
      </w:pPr>
      <w:r>
        <w:rPr>
          <w:sz w:val="20"/>
        </w:rPr>
        <w:t>Studied Spanish &amp; Moorish architecture and history in various regions, including Granada’s Alhambra &amp; Seville’s Alcázar.</w:t>
      </w:r>
    </w:p>
    <w:p>
      <w:pPr>
        <w:pStyle w:val="Normal"/>
        <w:widowControl w:val="false"/>
        <w:ind w:start="360" w:end="0"/>
        <w:rPr>
          <w:sz w:val="20"/>
        </w:rPr>
      </w:pPr>
      <w:r>
        <w:rPr>
          <w:sz w:val="20"/>
        </w:rPr>
      </w:r>
    </w:p>
    <w:p>
      <w:pPr>
        <w:pStyle w:val="Heading4"/>
        <w:tabs>
          <w:tab w:val="clear" w:pos="720"/>
          <w:tab w:val="clear" w:pos="7920"/>
          <w:tab w:val="left" w:pos="-1440" w:leader="none"/>
          <w:tab w:val="left" w:pos="360" w:leader="none"/>
        </w:tabs>
        <w:ind w:hanging="0" w:start="0"/>
        <w:jc w:val="center"/>
        <w:rPr/>
      </w:pPr>
      <w:r>
        <w:rPr/>
        <w:t>EXPERIENCE</w:t>
      </w:r>
    </w:p>
    <w:p>
      <w:pPr>
        <w:pStyle w:val="Normal"/>
        <w:tabs>
          <w:tab w:val="clear" w:pos="720"/>
          <w:tab w:val="left" w:pos="9540" w:leader="none"/>
        </w:tabs>
        <w:rPr/>
      </w:pPr>
      <w:r>
        <w:rPr>
          <w:b/>
          <w:sz w:val="20"/>
        </w:rPr>
        <w:t>CIBC WORLD MARKETS</w:t>
        <w:tab/>
      </w:r>
      <w:r>
        <w:rPr>
          <w:sz w:val="20"/>
        </w:rPr>
        <w:t>New York, NY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9630" w:leader="none"/>
        </w:tabs>
        <w:rPr/>
      </w:pPr>
      <w:r>
        <w:rPr>
          <w:b/>
          <w:sz w:val="20"/>
        </w:rPr>
        <w:t>Associate – Investment Banking Division, Healthcare Group</w:t>
      </w:r>
      <w:r>
        <w:rPr>
          <w:sz w:val="20"/>
        </w:rPr>
        <w:tab/>
        <w:t>Summer 2001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Collaborated on pitch book of strategic M&amp;A alternatives with three-person deal team and quantified synergistic effects of mergers for $2.7B biopharmaceutical firm using discounted cash flow, precedent transactions, and premiums paid analyses.</w:t>
      </w:r>
    </w:p>
    <w:p>
      <w:pPr>
        <w:pStyle w:val="Normal"/>
        <w:widowControl w:val="false"/>
        <w:numPr>
          <w:ilvl w:val="0"/>
          <w:numId w:val="10"/>
        </w:numPr>
        <w:tabs>
          <w:tab w:val="clear" w:pos="720"/>
          <w:tab w:val="left" w:pos="9180" w:leader="none"/>
        </w:tabs>
        <w:rPr>
          <w:sz w:val="20"/>
        </w:rPr>
      </w:pPr>
      <w:r>
        <w:rPr>
          <w:sz w:val="20"/>
        </w:rPr>
        <w:t>Built pro forma merger models utilizing comparable company, EPS accretion/dilution, and contribution analyses for mid-cap healthcare information technology company and presented recommendations to senior bankers.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Evaluated strategic alternatives, including research on potential buyers, for $500M nutritional products firm.</w:t>
      </w:r>
    </w:p>
    <w:p>
      <w:pPr>
        <w:pStyle w:val="Normal"/>
        <w:numPr>
          <w:ilvl w:val="0"/>
          <w:numId w:val="7"/>
        </w:numPr>
        <w:autoSpaceDE w:val="false"/>
        <w:rPr>
          <w:sz w:val="20"/>
        </w:rPr>
      </w:pPr>
      <w:r>
        <w:rPr>
          <w:sz w:val="20"/>
        </w:rPr>
        <w:t>Determined optimal capital structure and presented pitch materials for leveraged buyout of auto parts manufacturing company.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Developed price-volume and product pipeline analyses and co-performed due diligence for $400M convertible offering of pharmaceutical manufacturer.</w:t>
      </w:r>
    </w:p>
    <w:p>
      <w:pPr>
        <w:pStyle w:val="Normal"/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810" w:leader="none"/>
        </w:tabs>
        <w:rPr>
          <w:b/>
          <w:sz w:val="20"/>
        </w:rPr>
      </w:pPr>
      <w:r>
        <w:rPr>
          <w:b/>
          <w:sz w:val="20"/>
        </w:rPr>
        <w:t>SAFEGUARD INTERNATIONAL</w:t>
      </w:r>
      <w:r>
        <w:rPr>
          <w:sz w:val="20"/>
        </w:rPr>
        <w:tab/>
        <w:t xml:space="preserve"> Wayne, PA</w:t>
      </w:r>
    </w:p>
    <w:p>
      <w:pPr>
        <w:pStyle w:val="Normal"/>
        <w:tabs>
          <w:tab w:val="clear" w:pos="720"/>
          <w:tab w:val="left" w:pos="8370" w:leader="none"/>
        </w:tabs>
        <w:rPr/>
      </w:pPr>
      <w:r>
        <w:rPr>
          <w:b/>
          <w:sz w:val="20"/>
        </w:rPr>
        <w:t>Consultant</w:t>
      </w:r>
      <w:r>
        <w:rPr>
          <w:sz w:val="20"/>
        </w:rPr>
        <w:tab/>
        <w:t xml:space="preserve"> November 2000 – April 2001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Evaluated exit strategies for fiber products company in Safeguard portfolio with $122M in assets and presented recommendations to senior Safeguard management.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Selected for position from Wharton MBA Private Equity community based on professional background and academic excellence.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630" w:leader="none"/>
        </w:tabs>
        <w:rPr/>
      </w:pPr>
      <w:r>
        <w:rPr>
          <w:b/>
          <w:sz w:val="20"/>
        </w:rPr>
        <w:t>BANC OF AMERICA SECURITIES</w:t>
      </w:r>
      <w:r>
        <w:rPr>
          <w:sz w:val="20"/>
        </w:rPr>
        <w:tab/>
        <w:t>Palo Alto, CA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9630" w:leader="none"/>
        </w:tabs>
        <w:rPr/>
      </w:pPr>
      <w:r>
        <w:rPr>
          <w:b/>
          <w:sz w:val="20"/>
        </w:rPr>
        <w:t>Analyst – Investment Banking Division, Technology Group</w:t>
      </w:r>
      <w:r>
        <w:rPr>
          <w:sz w:val="20"/>
        </w:rPr>
        <w:tab/>
        <w:t>Summer 2000</w:t>
      </w:r>
    </w:p>
    <w:p>
      <w:pPr>
        <w:pStyle w:val="Normal"/>
        <w:numPr>
          <w:ilvl w:val="0"/>
          <w:numId w:val="7"/>
        </w:numPr>
        <w:autoSpaceDE w:val="false"/>
        <w:rPr>
          <w:sz w:val="20"/>
        </w:rPr>
      </w:pPr>
      <w:r>
        <w:rPr>
          <w:sz w:val="20"/>
          <w:lang w:eastAsia="es-ES"/>
        </w:rPr>
        <w:t>Prepared customized valuation model, including comparable company and discounted cash flow analyses, for $90M IPO of business-to-business (B2B) firm.</w:t>
      </w:r>
    </w:p>
    <w:p>
      <w:pPr>
        <w:pStyle w:val="Normal"/>
        <w:widowControl w:val="false"/>
        <w:numPr>
          <w:ilvl w:val="0"/>
          <w:numId w:val="2"/>
        </w:numPr>
        <w:rPr>
          <w:sz w:val="20"/>
        </w:rPr>
      </w:pPr>
      <w:r>
        <w:rPr>
          <w:sz w:val="20"/>
          <w:lang w:eastAsia="es-ES"/>
        </w:rPr>
        <w:t>Performed sell-side evaluation and company and industry overviews for $185M M&amp;A transaction in B2B space.</w:t>
      </w:r>
    </w:p>
    <w:p>
      <w:pPr>
        <w:pStyle w:val="Normal"/>
        <w:widowControl w:val="false"/>
        <w:numPr>
          <w:ilvl w:val="0"/>
          <w:numId w:val="2"/>
        </w:numPr>
        <w:rPr>
          <w:sz w:val="20"/>
        </w:rPr>
      </w:pPr>
      <w:r>
        <w:rPr>
          <w:sz w:val="20"/>
        </w:rPr>
        <w:t>Evaluated $10M bank investment of Chinese financial portal using financial statements, revenue projections, and EPS estimates of comparable companies.</w:t>
      </w:r>
    </w:p>
    <w:p>
      <w:pPr>
        <w:pStyle w:val="Normal"/>
        <w:widowControl w:val="false"/>
        <w:ind w:start="36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9450" w:leader="none"/>
        </w:tabs>
        <w:rPr/>
      </w:pPr>
      <w:r>
        <w:rPr>
          <w:b/>
          <w:sz w:val="20"/>
          <w:lang w:val="es-ES"/>
        </w:rPr>
        <w:t>NETJUICE STRATEGY &amp; BAQUÍA INTELIGENCIA</w:t>
      </w:r>
      <w:r>
        <w:rPr>
          <w:sz w:val="20"/>
          <w:lang w:val="es-ES"/>
        </w:rPr>
        <w:tab/>
        <w:t xml:space="preserve"> Madrid, SPAIN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9810" w:leader="none"/>
        </w:tabs>
        <w:rPr/>
      </w:pPr>
      <w:r>
        <w:rPr>
          <w:b/>
          <w:sz w:val="20"/>
        </w:rPr>
        <w:t>E-Commerce Analyst</w:t>
      </w:r>
      <w:r>
        <w:rPr>
          <w:sz w:val="20"/>
        </w:rPr>
        <w:tab/>
        <w:t>Spring 2000</w:t>
      </w:r>
    </w:p>
    <w:p>
      <w:pPr>
        <w:pStyle w:val="Normal"/>
        <w:widowControl w:val="false"/>
        <w:numPr>
          <w:ilvl w:val="0"/>
          <w:numId w:val="5"/>
        </w:numPr>
        <w:rPr>
          <w:b/>
          <w:sz w:val="20"/>
        </w:rPr>
      </w:pPr>
      <w:r>
        <w:rPr>
          <w:sz w:val="20"/>
        </w:rPr>
        <w:t>Developed both Intranets by leveraging information in English about information technology industry into Spanish.</w:t>
      </w:r>
    </w:p>
    <w:p>
      <w:pPr>
        <w:pStyle w:val="Normal"/>
        <w:widowControl w:val="false"/>
        <w:numPr>
          <w:ilvl w:val="0"/>
          <w:numId w:val="5"/>
        </w:numPr>
        <w:rPr>
          <w:b/>
          <w:sz w:val="20"/>
        </w:rPr>
      </w:pPr>
      <w:r>
        <w:rPr>
          <w:sz w:val="20"/>
        </w:rPr>
        <w:t>Produced report in Spanish related to e-commerce: “Factors that cause B2B Growth in Europe”.</w:t>
      </w:r>
    </w:p>
    <w:p>
      <w:pPr>
        <w:pStyle w:val="Normal"/>
        <w:widowControl w:val="false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7920" w:leader="none"/>
        </w:tabs>
        <w:rPr/>
      </w:pPr>
      <w:r>
        <w:rPr>
          <w:b/>
          <w:sz w:val="20"/>
        </w:rPr>
        <w:t>THE PRINCETON REVIEW</w:t>
      </w:r>
      <w:r>
        <w:rPr>
          <w:sz w:val="20"/>
        </w:rPr>
        <w:tab/>
        <w:t>Philadelphia, PA &amp; New York, NY</w:t>
      </w:r>
    </w:p>
    <w:p>
      <w:pPr>
        <w:pStyle w:val="Normal"/>
        <w:widowControl w:val="false"/>
        <w:tabs>
          <w:tab w:val="clear" w:pos="720"/>
          <w:tab w:val="left" w:pos="8010" w:leader="none"/>
        </w:tabs>
        <w:rPr>
          <w:b/>
          <w:sz w:val="20"/>
        </w:rPr>
      </w:pPr>
      <w:r>
        <w:rPr>
          <w:b/>
          <w:sz w:val="20"/>
        </w:rPr>
        <w:t>GMAT Instructor</w:t>
      </w:r>
      <w:r>
        <w:rPr>
          <w:sz w:val="20"/>
        </w:rPr>
        <w:tab/>
        <w:t>September 1998 – December 2000</w:t>
      </w:r>
    </w:p>
    <w:p>
      <w:pPr>
        <w:pStyle w:val="Normal"/>
        <w:widowControl w:val="false"/>
        <w:ind w:start="36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4"/>
        <w:tabs>
          <w:tab w:val="clear" w:pos="720"/>
          <w:tab w:val="clear" w:pos="7920"/>
          <w:tab w:val="left" w:pos="-1440" w:leader="none"/>
          <w:tab w:val="left" w:pos="360" w:leader="none"/>
        </w:tabs>
        <w:ind w:hanging="0" w:start="0"/>
        <w:jc w:val="center"/>
        <w:rPr/>
      </w:pPr>
      <w:r>
        <w:rPr/>
        <w:t>ADDITIONAL INFORMATION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20"/>
          <w:tab w:val="left" w:pos="360" w:leader="none"/>
        </w:tabs>
        <w:rPr>
          <w:sz w:val="20"/>
        </w:rPr>
      </w:pPr>
      <w:r>
        <w:rPr>
          <w:sz w:val="20"/>
        </w:rPr>
        <w:t>Fluent in Spanish; served as Student Ambassador to Russia; won foul-shot contest at Knicks basketball camp.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20"/>
          <w:tab w:val="left" w:pos="360" w:leader="none"/>
        </w:tabs>
        <w:rPr>
          <w:sz w:val="20"/>
        </w:rPr>
      </w:pPr>
      <w:r>
        <w:rPr>
          <w:sz w:val="20"/>
        </w:rPr>
        <w:t>Enthusiastic traveler &amp; Antonio Gaudí admirer; enjoy cooking, salsa &amp; hip-hop dancing, table tennis, reading, &amp; movies.</w:t>
      </w:r>
    </w:p>
    <w:sectPr>
      <w:headerReference w:type="default" r:id="rId2"/>
      <w:type w:val="nextPage"/>
      <w:pgSz w:w="12240" w:h="15840"/>
      <w:pgMar w:left="720" w:right="720" w:gutter="0" w:header="0" w:top="720" w:footer="0" w:bottom="720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etter Gothic">
    <w:charset w:val="00" w:characterSet="windows-1252"/>
    <w:family w:val="modern"/>
    <w:pitch w:val="default"/>
  </w:font>
  <w:font w:name="Marlett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clear" w:pos="720"/>
        <w:tab w:val="left" w:pos="-1440" w:leader="none"/>
      </w:tabs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left" w:pos="-1440" w:leader="none"/>
        <w:tab w:val="left" w:pos="720" w:leader="none"/>
        <w:tab w:val="left" w:pos="7920" w:leader="none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tabs>
        <w:tab w:val="clear" w:pos="720"/>
        <w:tab w:val="left" w:pos="-1440" w:leader="none"/>
      </w:tabs>
      <w:ind w:hanging="0" w:start="720" w:end="0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outlineLvl w:val="5"/>
    </w:pPr>
    <w:rPr>
      <w:b/>
      <w:i/>
      <w:sz w:val="20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tabs>
        <w:tab w:val="clear" w:pos="720"/>
        <w:tab w:val="left" w:pos="-1440" w:leader="none"/>
      </w:tabs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pBdr>
        <w:bottom w:val="single" w:sz="12" w:space="1" w:color="000000"/>
      </w:pBdr>
      <w:tabs>
        <w:tab w:val="clear" w:pos="720"/>
        <w:tab w:val="left" w:pos="360" w:leader="none"/>
      </w:tabs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ind w:hanging="0" w:start="360" w:end="0"/>
      <w:outlineLvl w:val="8"/>
    </w:pPr>
    <w:rPr>
      <w:b/>
      <w:bCs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  <w:color w:val="auto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43z0">
    <w:name w:val="WW8Num43z0"/>
    <w:qFormat/>
    <w:rPr>
      <w:rFonts w:ascii="Symbol" w:hAnsi="Symbol" w:cs="Symbol"/>
      <w:color w:val="auto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2">
    <w:name w:val="WW8Num44z2"/>
    <w:qFormat/>
    <w:rPr>
      <w:rFonts w:ascii="Wingdings" w:hAnsi="Wingdings" w:cs="Wingdings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0z1">
    <w:name w:val="WW8Num50z1"/>
    <w:qFormat/>
    <w:rPr>
      <w:rFonts w:ascii="Courier New" w:hAnsi="Courier New" w:cs="Courier New"/>
    </w:rPr>
  </w:style>
  <w:style w:type="character" w:styleId="WW8Num50z2">
    <w:name w:val="WW8Num50z2"/>
    <w:qFormat/>
    <w:rPr>
      <w:rFonts w:ascii="Wingdings" w:hAnsi="Wingdings" w:cs="Wingdings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2z1">
    <w:name w:val="WW8Num52z1"/>
    <w:qFormat/>
    <w:rPr>
      <w:rFonts w:ascii="Courier New" w:hAnsi="Courier New" w:cs="Courier New"/>
    </w:rPr>
  </w:style>
  <w:style w:type="character" w:styleId="WW8Num52z2">
    <w:name w:val="WW8Num52z2"/>
    <w:qFormat/>
    <w:rPr>
      <w:rFonts w:ascii="Wingdings" w:hAnsi="Wingdings" w:cs="Wingdings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  <w:color w:val="auto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5z1">
    <w:name w:val="WW8Num65z1"/>
    <w:qFormat/>
    <w:rPr>
      <w:rFonts w:ascii="Letter Gothic" w:hAnsi="Letter Gothic" w:cs="Letter Gothic"/>
    </w:rPr>
  </w:style>
  <w:style w:type="character" w:styleId="WW8Num65z2">
    <w:name w:val="WW8Num65z2"/>
    <w:qFormat/>
    <w:rPr>
      <w:rFonts w:ascii="Marlett" w:hAnsi="Marlett" w:cs="Marlett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7z1">
    <w:name w:val="WW8Num67z1"/>
    <w:qFormat/>
    <w:rPr>
      <w:rFonts w:ascii="Courier New" w:hAnsi="Courier New" w:cs="Courier New"/>
    </w:rPr>
  </w:style>
  <w:style w:type="character" w:styleId="WW8Num67z2">
    <w:name w:val="WW8Num67z2"/>
    <w:qFormat/>
    <w:rPr>
      <w:rFonts w:ascii="Wingdings" w:hAnsi="Wingdings" w:cs="Wingdings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8z1">
    <w:name w:val="WW8Num68z1"/>
    <w:qFormat/>
    <w:rPr>
      <w:rFonts w:ascii="Courier New" w:hAnsi="Courier New" w:cs="Courier New"/>
    </w:rPr>
  </w:style>
  <w:style w:type="character" w:styleId="WW8Num68z2">
    <w:name w:val="WW8Num68z2"/>
    <w:qFormat/>
    <w:rPr>
      <w:rFonts w:ascii="Wingdings" w:hAnsi="Wingdings" w:cs="Wingdings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  <w:color w:val="auto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5z1">
    <w:name w:val="WW8Num75z1"/>
    <w:qFormat/>
    <w:rPr>
      <w:rFonts w:ascii="Courier New" w:hAnsi="Courier New" w:cs="Courier New"/>
    </w:rPr>
  </w:style>
  <w:style w:type="character" w:styleId="WW8Num75z2">
    <w:name w:val="WW8Num75z2"/>
    <w:qFormat/>
    <w:rPr>
      <w:rFonts w:ascii="Wingdings" w:hAnsi="Wingdings" w:cs="Wingdings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8z1">
    <w:name w:val="WW8Num78z1"/>
    <w:qFormat/>
    <w:rPr>
      <w:rFonts w:ascii="Courier New" w:hAnsi="Courier New" w:cs="Courier New"/>
    </w:rPr>
  </w:style>
  <w:style w:type="character" w:styleId="WW8Num78z2">
    <w:name w:val="WW8Num78z2"/>
    <w:qFormat/>
    <w:rPr>
      <w:rFonts w:ascii="Wingdings" w:hAnsi="Wingdings" w:cs="Wingdings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1z1">
    <w:name w:val="WW8Num81z1"/>
    <w:qFormat/>
    <w:rPr>
      <w:rFonts w:ascii="Courier New" w:hAnsi="Courier New" w:cs="Courier New"/>
    </w:rPr>
  </w:style>
  <w:style w:type="character" w:styleId="WW8Num81z2">
    <w:name w:val="WW8Num81z2"/>
    <w:qFormat/>
    <w:rPr>
      <w:rFonts w:ascii="Wingdings" w:hAnsi="Wingdings" w:cs="Wingdings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  <w:color w:val="auto"/>
    </w:rPr>
  </w:style>
  <w:style w:type="character" w:styleId="WW8Num84z0">
    <w:name w:val="WW8Num84z0"/>
    <w:qFormat/>
    <w:rPr>
      <w:rFonts w:ascii="Symbol" w:hAnsi="Symbol" w:cs="Symbol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>
      <w:rFonts w:ascii="Symbol" w:hAnsi="Symbol" w:cs="Symbol"/>
    </w:rPr>
  </w:style>
  <w:style w:type="character" w:styleId="WW8Num88z0">
    <w:name w:val="WW8Num88z0"/>
    <w:qFormat/>
    <w:rPr>
      <w:rFonts w:ascii="Symbol" w:hAnsi="Symbol" w:cs="Symbol"/>
    </w:rPr>
  </w:style>
  <w:style w:type="character" w:styleId="WW8Num89z0">
    <w:name w:val="WW8Num89z0"/>
    <w:qFormat/>
    <w:rPr>
      <w:rFonts w:ascii="Symbol" w:hAnsi="Symbol" w:cs="Symbol"/>
    </w:rPr>
  </w:style>
  <w:style w:type="character" w:styleId="WW8Num89z1">
    <w:name w:val="WW8Num89z1"/>
    <w:qFormat/>
    <w:rPr>
      <w:rFonts w:ascii="Courier New" w:hAnsi="Courier New" w:cs="Courier New"/>
    </w:rPr>
  </w:style>
  <w:style w:type="character" w:styleId="WW8Num89z2">
    <w:name w:val="WW8Num89z2"/>
    <w:qFormat/>
    <w:rPr>
      <w:rFonts w:ascii="Wingdings" w:hAnsi="Wingdings" w:cs="Wingdings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widowControl w:val="false"/>
      <w:jc w:val="center"/>
    </w:pPr>
    <w:rPr>
      <w:b/>
    </w:rPr>
  </w:style>
  <w:style w:type="paragraph" w:styleId="BodyText">
    <w:name w:val="Body Text"/>
    <w:basedOn w:val="Normal"/>
    <w:pPr>
      <w:widowControl w:val="false"/>
      <w:tabs>
        <w:tab w:val="clear" w:pos="720"/>
        <w:tab w:val="left" w:pos="-1440" w:leader="none"/>
        <w:tab w:val="left" w:pos="360" w:leader="none"/>
      </w:tabs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2001-10-19T18:33:00Z</dcterms:created>
  <dc:creator>Aditya Chaitanya Divgi</dc:creator>
  <dc:description/>
  <dc:language>en-CA</dc:language>
  <cp:lastModifiedBy>profile</cp:lastModifiedBy>
  <cp:lastPrinted>2001-08-01T10:39:00Z</cp:lastPrinted>
  <dcterms:modified xsi:type="dcterms:W3CDTF">2001-10-19T18:33:00Z</dcterms:modified>
  <cp:revision>3</cp:revision>
  <dc:subject/>
  <dc:title>Aditya Chaitanya Divgi</dc:title>
</cp:coreProperties>
</file>