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>
          <w:caps/>
        </w:rPr>
      </w:pPr>
      <w:r>
        <w:rPr>
          <w:caps/>
        </w:rPr>
        <w:t xml:space="preserve"> </w:t>
      </w:r>
      <w:r>
        <w:rPr>
          <w:caps/>
        </w:rPr>
        <w:t>Natalie A. Bondareva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3121 Buffalo Speedway, # 6206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Houston, TX 77098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(713) 993-0067 </w:t>
      </w:r>
    </w:p>
    <w:p>
      <w:pPr>
        <w:pStyle w:val="Normal"/>
        <w:pBdr>
          <w:bottom w:val="single" w:sz="4" w:space="1" w:color="000000"/>
        </w:pBdr>
        <w:jc w:val="center"/>
        <w:rPr>
          <w:color w:val="000000"/>
        </w:rPr>
      </w:pPr>
      <w:r>
        <w:rPr>
          <w:color w:val="000000"/>
        </w:rPr>
        <w:t>E-mail:  natbond@lycos.com</w:t>
      </w:r>
    </w:p>
    <w:p>
      <w:pPr>
        <w:pStyle w:val="Normal"/>
        <w:jc w:val="center"/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Heading2"/>
        <w:ind w:hanging="2160" w:start="2160" w:end="0"/>
        <w:jc w:val="center"/>
        <w:rPr>
          <w:sz w:val="22"/>
        </w:rPr>
      </w:pPr>
      <w:r>
        <w:rPr>
          <w:sz w:val="22"/>
        </w:rPr>
        <w:t>PROFESSIONAL SKILLS</w:t>
      </w:r>
    </w:p>
    <w:p>
      <w:pPr>
        <w:pStyle w:val="Normal"/>
        <w:rPr>
          <w:sz w:val="22"/>
        </w:rPr>
      </w:pPr>
      <w:r>
        <w:rPr>
          <w:sz w:val="22"/>
        </w:rPr>
      </w:r>
    </w:p>
    <w:p>
      <w:pPr>
        <w:pStyle w:val="Normal"/>
        <w:numPr>
          <w:ilvl w:val="0"/>
          <w:numId w:val="5"/>
        </w:numPr>
        <w:rPr/>
      </w:pPr>
      <w:r>
        <w:rPr/>
        <w:t>Comprehensive understanding of derivative products, power and gas markets.</w:t>
      </w:r>
    </w:p>
    <w:p>
      <w:pPr>
        <w:pStyle w:val="Normal"/>
        <w:numPr>
          <w:ilvl w:val="0"/>
          <w:numId w:val="5"/>
        </w:numPr>
        <w:rPr/>
      </w:pPr>
      <w:r>
        <w:rPr/>
        <w:t>Advanced project management skills</w:t>
      </w:r>
    </w:p>
    <w:p>
      <w:pPr>
        <w:pStyle w:val="Normal"/>
        <w:numPr>
          <w:ilvl w:val="0"/>
          <w:numId w:val="5"/>
        </w:numPr>
        <w:rPr/>
      </w:pPr>
      <w:r>
        <w:rPr/>
        <w:t>Strong presentation, negotiation and customer facing skills</w:t>
      </w:r>
    </w:p>
    <w:p>
      <w:pPr>
        <w:pStyle w:val="Normal"/>
        <w:numPr>
          <w:ilvl w:val="0"/>
          <w:numId w:val="5"/>
        </w:numPr>
        <w:rPr/>
      </w:pPr>
      <w:r>
        <w:rPr/>
        <w:t>Experienced in retail energy products and services</w:t>
      </w:r>
    </w:p>
    <w:p>
      <w:pPr>
        <w:pStyle w:val="Normal"/>
        <w:numPr>
          <w:ilvl w:val="0"/>
          <w:numId w:val="5"/>
        </w:numPr>
        <w:rPr/>
      </w:pPr>
      <w:r>
        <w:rPr/>
        <w:t>Proficient in MS Word, Excel, PowerPoint, Access</w:t>
      </w:r>
    </w:p>
    <w:p>
      <w:pPr>
        <w:pStyle w:val="Heading2"/>
        <w:ind w:hanging="0" w:start="0"/>
        <w:rPr>
          <w:b w:val="false"/>
          <w:sz w:val="20"/>
        </w:rPr>
      </w:pPr>
      <w:r>
        <w:rPr>
          <w:b w:val="false"/>
          <w:sz w:val="20"/>
        </w:rPr>
      </w:r>
    </w:p>
    <w:p>
      <w:pPr>
        <w:pStyle w:val="Heading3"/>
        <w:ind w:hanging="0" w:start="0"/>
        <w:jc w:val="center"/>
        <w:rPr/>
      </w:pPr>
      <w:r>
        <w:rPr/>
        <w:t>PROFESSIONAL EXPERIENCE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>
          <w:b/>
        </w:rPr>
      </w:pPr>
      <w:r>
        <w:rPr>
          <w:b/>
        </w:rPr>
        <w:t>ENRON NET WORKS</w:t>
      </w:r>
    </w:p>
    <w:p>
      <w:pPr>
        <w:pStyle w:val="Normal"/>
        <w:rPr>
          <w:i/>
          <w:i/>
        </w:rPr>
      </w:pPr>
      <w:r>
        <w:rPr>
          <w:i/>
        </w:rPr>
        <w:t>Specialist – Risk Management, Deal Capture  (July 2001-December 2001)</w:t>
      </w:r>
    </w:p>
    <w:p>
      <w:pPr>
        <w:pStyle w:val="Normal"/>
        <w:tabs>
          <w:tab w:val="clear" w:pos="720"/>
          <w:tab w:val="right" w:pos="9270" w:leader="none"/>
        </w:tabs>
        <w:rPr>
          <w:bCs/>
          <w:i/>
          <w:i/>
        </w:rPr>
      </w:pPr>
      <w:r>
        <w:rPr>
          <w:bCs/>
          <w:i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>
          <w:bCs/>
        </w:rPr>
      </w:pPr>
      <w:r>
        <w:rPr>
          <w:bCs/>
        </w:rPr>
        <w:t>Supervised customer set up for financial service and physical delivery of power in all deregulated markets.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>
          <w:bCs/>
        </w:rPr>
      </w:pPr>
      <w:r>
        <w:rPr>
          <w:bCs/>
        </w:rPr>
        <w:t>Maintained data flow and allocated revenue streams between customer accounts; generated analytical financial reports.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>
          <w:bCs/>
        </w:rPr>
      </w:pPr>
      <w:r>
        <w:rPr>
          <w:bCs/>
        </w:rPr>
        <w:t>Executed control function verifying originated deals versus risk books.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>
          <w:bCs/>
        </w:rPr>
      </w:pPr>
      <w:r>
        <w:rPr>
          <w:bCs/>
        </w:rPr>
        <w:t>Problematic approval resolutions/ research of validation issues with Enron Origination, Legal, Risk, Power Desk, Credit and other departments.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>
          <w:bCs/>
        </w:rPr>
      </w:pPr>
      <w:r>
        <w:rPr>
          <w:bCs/>
        </w:rPr>
        <w:t>Analyzed power deals portfolio and presented results to senior management.</w:t>
      </w:r>
    </w:p>
    <w:p>
      <w:pPr>
        <w:pStyle w:val="Normal"/>
        <w:rPr>
          <w:b/>
          <w:bCs/>
        </w:rPr>
      </w:pPr>
      <w:r>
        <w:rPr>
          <w:b/>
          <w:bCs/>
        </w:rPr>
      </w:r>
    </w:p>
    <w:p>
      <w:pPr>
        <w:pStyle w:val="Normal"/>
        <w:rPr>
          <w:b/>
        </w:rPr>
      </w:pPr>
      <w:r>
        <w:rPr>
          <w:b/>
        </w:rPr>
        <w:t>ENRON ENERGY SERVICES, INC.</w:t>
      </w:r>
    </w:p>
    <w:p>
      <w:pPr>
        <w:pStyle w:val="Normal"/>
        <w:rPr>
          <w:i/>
          <w:i/>
        </w:rPr>
      </w:pPr>
      <w:r>
        <w:rPr>
          <w:i/>
        </w:rPr>
        <w:t>Planning Specialist - Global Energy Services  (September 2000-June 2001)</w:t>
      </w:r>
    </w:p>
    <w:p>
      <w:pPr>
        <w:pStyle w:val="Normal"/>
        <w:tabs>
          <w:tab w:val="clear" w:pos="720"/>
          <w:tab w:val="right" w:pos="9270" w:leader="none"/>
        </w:tabs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rPr/>
      </w:pPr>
      <w:r>
        <w:rPr/>
        <w:t xml:space="preserve">Transitioned $327.65 MM worth of retail energy outsource deals from origination through operation.  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jc w:val="both"/>
        <w:rPr/>
      </w:pPr>
      <w:r>
        <w:rPr/>
        <w:t>Managed implementation of 300+ accounts behind Ohio First Energy New Market Entry Initiative.</w:t>
      </w:r>
    </w:p>
    <w:p>
      <w:pPr>
        <w:pStyle w:val="Normal"/>
        <w:numPr>
          <w:ilvl w:val="0"/>
          <w:numId w:val="7"/>
        </w:numPr>
        <w:tabs>
          <w:tab w:val="clear" w:pos="720"/>
          <w:tab w:val="right" w:pos="9270" w:leader="none"/>
        </w:tabs>
        <w:ind w:hanging="360" w:start="360" w:end="324"/>
        <w:jc w:val="both"/>
        <w:rPr/>
      </w:pPr>
      <w:r>
        <w:rPr/>
        <w:t xml:space="preserve">Interacted directly with customers and service providers to resolve issues on pricing, physical delivery and scheduling throughout the transition phase of each deal.     </w:t>
      </w:r>
    </w:p>
    <w:p>
      <w:pPr>
        <w:pStyle w:val="Normal"/>
        <w:numPr>
          <w:ilvl w:val="0"/>
          <w:numId w:val="2"/>
        </w:numPr>
        <w:rPr/>
      </w:pPr>
      <w:r>
        <w:rPr/>
        <w:t>Created and refined financial and other models required to analyze customer information.</w:t>
      </w:r>
    </w:p>
    <w:p>
      <w:pPr>
        <w:pStyle w:val="Normal"/>
        <w:numPr>
          <w:ilvl w:val="0"/>
          <w:numId w:val="2"/>
        </w:numPr>
        <w:rPr/>
      </w:pPr>
      <w:r>
        <w:rPr/>
        <w:t>Developed tools to facilitate and improve the due diligence process.</w:t>
      </w:r>
    </w:p>
    <w:p>
      <w:pPr>
        <w:pStyle w:val="Normal"/>
        <w:ind w:start="1440" w:end="0"/>
        <w:rPr>
          <w:b/>
        </w:rPr>
      </w:pPr>
      <w:r>
        <w:rPr>
          <w:b/>
        </w:rPr>
      </w:r>
    </w:p>
    <w:p>
      <w:pPr>
        <w:pStyle w:val="Normal"/>
        <w:jc w:val="both"/>
        <w:rPr/>
      </w:pPr>
      <w:r>
        <w:rPr>
          <w:b/>
        </w:rPr>
        <w:t xml:space="preserve">ROBERTSON &amp; BLUMS CORP. USA </w:t>
      </w:r>
      <w:r>
        <w:rPr/>
        <w:t>(JD Edwards’ Business Partner)</w:t>
      </w:r>
      <w:r>
        <w:rPr>
          <w:b/>
        </w:rPr>
        <w:t xml:space="preserve">, </w:t>
      </w:r>
      <w:r>
        <w:rPr/>
        <w:t>Moscow</w:t>
      </w:r>
    </w:p>
    <w:p>
      <w:pPr>
        <w:pStyle w:val="Normal"/>
        <w:rPr>
          <w:i/>
          <w:i/>
        </w:rPr>
      </w:pPr>
      <w:r>
        <w:rPr>
          <w:i/>
        </w:rPr>
        <w:t>Sales / Marketing Manager (September 1996 – August 1999)</w:t>
      </w:r>
    </w:p>
    <w:p>
      <w:pPr>
        <w:pStyle w:val="BodyTextIndent3"/>
        <w:ind w:hanging="0" w:start="0" w:end="0"/>
        <w:jc w:val="both"/>
        <w:rPr>
          <w:i/>
          <w:i/>
          <w:sz w:val="20"/>
        </w:rPr>
      </w:pPr>
      <w:r>
        <w:rPr>
          <w:i/>
          <w:sz w:val="20"/>
        </w:rPr>
      </w:r>
    </w:p>
    <w:p>
      <w:pPr>
        <w:pStyle w:val="Normal"/>
        <w:numPr>
          <w:ilvl w:val="0"/>
          <w:numId w:val="6"/>
        </w:numPr>
        <w:rPr/>
      </w:pPr>
      <w:r>
        <w:rPr/>
        <w:t>Managed complex contracts with large multiple clients, worked in a high paced environment</w:t>
      </w:r>
    </w:p>
    <w:p>
      <w:pPr>
        <w:pStyle w:val="Normal"/>
        <w:numPr>
          <w:ilvl w:val="0"/>
          <w:numId w:val="6"/>
        </w:numPr>
        <w:rPr/>
      </w:pPr>
      <w:r>
        <w:rPr/>
        <w:t>Evaluated clients’ business practices in relation to JD Edwards software and developed appropriate solutions.</w:t>
      </w:r>
    </w:p>
    <w:p>
      <w:pPr>
        <w:pStyle w:val="Normal"/>
        <w:numPr>
          <w:ilvl w:val="0"/>
          <w:numId w:val="6"/>
        </w:numPr>
        <w:rPr/>
      </w:pPr>
      <w:r>
        <w:rPr/>
        <w:t>Conducted financial analysis of companies in order to evaluate risks related to implementation projects</w:t>
      </w:r>
    </w:p>
    <w:p>
      <w:pPr>
        <w:pStyle w:val="Normal"/>
        <w:numPr>
          <w:ilvl w:val="0"/>
          <w:numId w:val="6"/>
        </w:numPr>
        <w:rPr/>
      </w:pPr>
      <w:r>
        <w:rPr/>
        <w:t>Negotiated and signed contracts with clients on the territory of Russia, the CIS and the Baltic States</w:t>
      </w:r>
    </w:p>
    <w:p>
      <w:pPr>
        <w:pStyle w:val="Normal"/>
        <w:numPr>
          <w:ilvl w:val="0"/>
          <w:numId w:val="6"/>
        </w:numPr>
        <w:rPr/>
      </w:pPr>
      <w:r>
        <w:rPr/>
        <w:t>Traveled to clients’ sites to take part in tenders, evaluate JD Edwards position, provide feedback to management and adjust plans as required.</w:t>
      </w:r>
    </w:p>
    <w:p>
      <w:pPr>
        <w:pStyle w:val="Normal"/>
        <w:numPr>
          <w:ilvl w:val="0"/>
          <w:numId w:val="6"/>
        </w:numPr>
        <w:rPr/>
      </w:pPr>
      <w:r>
        <w:rPr/>
        <w:t>Developed strategic partnerships with such companies as IBM, Dell, Hewlett Packard, KPMG, Deloitte &amp; Touche, Arthur Anderson, Ernst &amp; Young, and PriceWaterhouseCoopers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b/>
        </w:rPr>
        <w:t>PHILIPS</w:t>
      </w:r>
      <w:r>
        <w:rPr/>
        <w:t>, Moscow</w:t>
      </w:r>
    </w:p>
    <w:p>
      <w:pPr>
        <w:pStyle w:val="Normal"/>
        <w:rPr>
          <w:i/>
          <w:i/>
        </w:rPr>
      </w:pPr>
      <w:r>
        <w:rPr>
          <w:i/>
        </w:rPr>
        <w:t>Finance Assistant, Lighting Division (April 1995 – September 1996)</w:t>
      </w:r>
    </w:p>
    <w:p>
      <w:pPr>
        <w:pStyle w:val="Normal"/>
        <w:rPr>
          <w:i/>
          <w:i/>
        </w:rPr>
      </w:pPr>
      <w:r>
        <w:rPr>
          <w:i/>
        </w:rPr>
      </w:r>
    </w:p>
    <w:p>
      <w:pPr>
        <w:pStyle w:val="Normal"/>
        <w:numPr>
          <w:ilvl w:val="0"/>
          <w:numId w:val="3"/>
        </w:numPr>
        <w:rPr/>
      </w:pPr>
      <w:r>
        <w:rPr/>
        <w:t>Participated in development of a price structure for lighting products</w:t>
      </w:r>
    </w:p>
    <w:p>
      <w:pPr>
        <w:pStyle w:val="Normal"/>
        <w:numPr>
          <w:ilvl w:val="0"/>
          <w:numId w:val="3"/>
        </w:numPr>
        <w:rPr/>
      </w:pPr>
      <w:r>
        <w:rPr/>
        <w:t>Coordinated outgoing invoices and discount offers to clients</w:t>
      </w:r>
    </w:p>
    <w:p>
      <w:pPr>
        <w:pStyle w:val="Normal"/>
        <w:numPr>
          <w:ilvl w:val="0"/>
          <w:numId w:val="3"/>
        </w:numPr>
        <w:rPr/>
      </w:pPr>
      <w:r>
        <w:rPr/>
        <w:t>Calculated division margins and submitted reports to management</w:t>
      </w:r>
    </w:p>
    <w:p>
      <w:pPr>
        <w:pStyle w:val="Normal"/>
        <w:tabs>
          <w:tab w:val="clear" w:pos="720"/>
          <w:tab w:val="left" w:pos="6507" w:leader="none"/>
        </w:tabs>
        <w:rPr/>
      </w:pPr>
      <w:r>
        <w:rPr/>
      </w:r>
    </w:p>
    <w:p>
      <w:pPr>
        <w:pStyle w:val="Normal"/>
        <w:rPr/>
      </w:pPr>
      <w:r>
        <w:rPr>
          <w:b/>
        </w:rPr>
        <w:t>SONY</w:t>
      </w:r>
      <w:r>
        <w:rPr/>
        <w:t>, Moscow</w:t>
      </w:r>
    </w:p>
    <w:p>
      <w:pPr>
        <w:pStyle w:val="Normal"/>
        <w:rPr>
          <w:i/>
          <w:i/>
        </w:rPr>
      </w:pPr>
      <w:r>
        <w:rPr>
          <w:i/>
        </w:rPr>
        <w:t>Sales Representative in Mobile Electronics Department (January 1994 – April 1995)</w:t>
      </w:r>
    </w:p>
    <w:p>
      <w:pPr>
        <w:pStyle w:val="Normal"/>
        <w:rPr/>
      </w:pPr>
      <w:r>
        <w:rPr/>
      </w:r>
    </w:p>
    <w:p>
      <w:pPr>
        <w:pStyle w:val="Normal"/>
        <w:numPr>
          <w:ilvl w:val="0"/>
          <w:numId w:val="4"/>
        </w:numPr>
        <w:rPr/>
      </w:pPr>
      <w:r>
        <w:rPr/>
        <w:t>Developed special offers and discount schemes for important clients</w:t>
      </w:r>
    </w:p>
    <w:p>
      <w:pPr>
        <w:pStyle w:val="Normal"/>
        <w:numPr>
          <w:ilvl w:val="0"/>
          <w:numId w:val="4"/>
        </w:numPr>
        <w:rPr/>
      </w:pPr>
      <w:r>
        <w:rPr/>
        <w:t>Negotiated orders with clients, originated DM 4,500,000 in sales.</w:t>
      </w:r>
    </w:p>
    <w:p>
      <w:pPr>
        <w:pStyle w:val="Normal"/>
        <w:numPr>
          <w:ilvl w:val="0"/>
          <w:numId w:val="4"/>
        </w:numPr>
        <w:rPr/>
      </w:pPr>
      <w:r>
        <w:rPr/>
        <w:t>Participated in organization and worked at exhibitions and Motor Shows</w:t>
      </w:r>
      <w:r>
        <w:br w:type="page"/>
      </w:r>
    </w:p>
    <w:p>
      <w:pPr>
        <w:pStyle w:val="Normal"/>
        <w:rPr/>
      </w:pPr>
      <w:r>
        <w:rPr/>
      </w:r>
    </w:p>
    <w:p>
      <w:pPr>
        <w:pStyle w:val="Heading"/>
        <w:rPr>
          <w:caps/>
        </w:rPr>
      </w:pPr>
      <w:r>
        <w:rPr>
          <w:caps/>
        </w:rPr>
        <w:t>Natalie A. Bondareva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3121 Buffalo Speedway, # 6206 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 </w:t>
      </w:r>
      <w:r>
        <w:rPr>
          <w:color w:val="000000"/>
        </w:rPr>
        <w:t>Houston, TX 77098</w:t>
      </w:r>
    </w:p>
    <w:p>
      <w:pPr>
        <w:pStyle w:val="Normal"/>
        <w:jc w:val="center"/>
        <w:rPr>
          <w:color w:val="000000"/>
        </w:rPr>
      </w:pPr>
      <w:r>
        <w:rPr>
          <w:color w:val="000000"/>
        </w:rPr>
        <w:t xml:space="preserve">(713) 993-0067 </w:t>
      </w:r>
    </w:p>
    <w:p>
      <w:pPr>
        <w:pStyle w:val="Normal"/>
        <w:pBdr>
          <w:bottom w:val="single" w:sz="4" w:space="1" w:color="000000"/>
        </w:pBdr>
        <w:jc w:val="center"/>
        <w:rPr>
          <w:color w:val="000000"/>
        </w:rPr>
      </w:pPr>
      <w:r>
        <w:rPr>
          <w:color w:val="000000"/>
        </w:rPr>
        <w:t>E-mail:  natbond@lycos.com</w:t>
      </w:r>
    </w:p>
    <w:p>
      <w:pPr>
        <w:pStyle w:val="Normal"/>
        <w:jc w:val="center"/>
        <w:rPr>
          <w:color w:val="000000"/>
          <w:sz w:val="18"/>
        </w:rPr>
      </w:pPr>
      <w:r>
        <w:rPr>
          <w:color w:val="000000"/>
          <w:sz w:val="18"/>
        </w:rPr>
      </w:r>
    </w:p>
    <w:p>
      <w:pPr>
        <w:pStyle w:val="Normal"/>
        <w:rPr>
          <w:b/>
          <w:sz w:val="18"/>
        </w:rPr>
      </w:pPr>
      <w:r>
        <w:rPr>
          <w:b/>
          <w:sz w:val="18"/>
        </w:rPr>
      </w:r>
    </w:p>
    <w:p>
      <w:pPr>
        <w:pStyle w:val="Heading4"/>
        <w:ind w:hanging="0" w:start="0"/>
        <w:rPr/>
      </w:pPr>
      <w:r>
        <w:rPr/>
        <w:t>EDUCATION</w:t>
      </w:r>
    </w:p>
    <w:p>
      <w:pPr>
        <w:pStyle w:val="Normal"/>
        <w:rPr>
          <w:caps/>
          <w:sz w:val="22"/>
        </w:rPr>
      </w:pPr>
      <w:r>
        <w:rPr>
          <w:caps/>
          <w:sz w:val="22"/>
        </w:rPr>
      </w:r>
    </w:p>
    <w:p>
      <w:pPr>
        <w:pStyle w:val="Normal"/>
        <w:rPr/>
      </w:pPr>
      <w:r>
        <w:rPr>
          <w:caps/>
          <w:sz w:val="22"/>
        </w:rPr>
        <w:t>WESTERN ILLINOIS UNIVERSITY</w:t>
      </w:r>
      <w:r>
        <w:rPr/>
        <w:t>, Macomb, IL  (1999 - 2000)</w:t>
      </w:r>
    </w:p>
    <w:p>
      <w:pPr>
        <w:pStyle w:val="Normal"/>
        <w:rPr/>
      </w:pPr>
      <w:r>
        <w:rPr>
          <w:b/>
          <w:bCs/>
        </w:rPr>
        <w:t>Master of Business Administration</w:t>
      </w:r>
      <w:r>
        <w:rPr/>
        <w:t>: Finance, International Business; 3.96 GPA</w:t>
      </w:r>
    </w:p>
    <w:p>
      <w:pPr>
        <w:pStyle w:val="Normal"/>
        <w:rPr/>
      </w:pPr>
      <w:r>
        <w:rPr/>
        <w:t>MOSCOW STATE UNIVERSITY OF INTERNATIONAL RELATIONS, Moscow, Russia (1992 – 1997)</w:t>
      </w:r>
    </w:p>
    <w:p>
      <w:pPr>
        <w:pStyle w:val="Normal"/>
        <w:rPr/>
      </w:pPr>
      <w:r>
        <w:rPr>
          <w:b/>
          <w:bCs/>
        </w:rPr>
        <w:t>Bachelor of Arts</w:t>
      </w:r>
      <w:r>
        <w:rPr/>
        <w:t>: International Finance, Currency and Credit Relations</w:t>
      </w:r>
    </w:p>
    <w:p>
      <w:pPr>
        <w:pStyle w:val="Normal"/>
        <w:rPr/>
      </w:pPr>
      <w:r>
        <w:rPr/>
      </w:r>
    </w:p>
    <w:p>
      <w:pPr>
        <w:pStyle w:val="Heading4"/>
        <w:ind w:hanging="0" w:start="0"/>
        <w:rPr/>
      </w:pPr>
      <w:r>
        <w:rPr/>
        <w:t>ENRON TRAINING CLASSES</w:t>
      </w:r>
    </w:p>
    <w:p>
      <w:pPr>
        <w:pStyle w:val="Normal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Normal"/>
        <w:rPr/>
      </w:pPr>
      <w:r>
        <w:rPr/>
        <w:t>Basic Gas, Basic Electricity, Derivatives I and II, Deal Structuring in Energy Markets.</w:t>
      </w:r>
    </w:p>
    <w:sectPr>
      <w:footerReference w:type="default" r:id="rId2"/>
      <w:type w:val="nextPage"/>
      <w:pgSz w:w="12240" w:h="15840"/>
      <w:pgMar w:left="1008" w:right="1008" w:gutter="0" w:header="0" w:top="450" w:footer="720" w:bottom="776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end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0" allowOverlap="1" relativeHeight="3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4135" cy="146685"/>
              <wp:effectExtent l="0" t="0" r="0" b="0"/>
              <wp:wrapSquare wrapText="bothSides"/>
              <wp:docPr id="1" name="Frame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35" cy="14668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2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5.05pt;height:11.55pt;mso-wrap-distance-left:0pt;mso-wrap-distance-right:0pt;mso-wrap-distance-top:0pt;mso-wrap-distance-bottom:0pt;margin-top:0.05pt;mso-position-vertical-relative:text;margin-left:506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2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abstractNum w:abstractNumId="7">
    <w:lvl w:ilvl="0">
      <w:start w:val="1"/>
      <w:numFmt w:val="bullet"/>
      <w:lvlText w:val=""/>
      <w:lvlJc w:val="start"/>
      <w:pPr>
        <w:tabs>
          <w:tab w:val="num" w:pos="360"/>
        </w:tabs>
        <w:ind w:start="36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trackRevisions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2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jc w:val="center"/>
      <w:outlineLvl w:val="3"/>
    </w:pPr>
    <w:rPr>
      <w:b/>
      <w:sz w:val="22"/>
    </w:rPr>
  </w:style>
  <w:style w:type="character" w:styleId="WW8Num1z0">
    <w:name w:val="WW8Num1z0"/>
    <w:qFormat/>
    <w:rPr>
      <w:rFonts w:ascii="Wingdings" w:hAnsi="Wingdings" w:cs="Wingdings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6z0">
    <w:name w:val="WW8Num6z0"/>
    <w:qFormat/>
    <w:rPr>
      <w:rFonts w:ascii="Wingdings" w:hAnsi="Wingdings" w:cs="Wingdings"/>
    </w:rPr>
  </w:style>
  <w:style w:type="character" w:styleId="WW8Num7z0">
    <w:name w:val="WW8Num7z0"/>
    <w:qFormat/>
    <w:rPr>
      <w:rFonts w:ascii="Wingdings" w:hAnsi="Wingdings" w:cs="Wingdings"/>
    </w:rPr>
  </w:style>
  <w:style w:type="character" w:styleId="WW8Num8z0">
    <w:name w:val="WW8Num8z0"/>
    <w:qFormat/>
    <w:rPr>
      <w:rFonts w:ascii="Wingdings" w:hAnsi="Wingdings" w:cs="Wingdings"/>
    </w:rPr>
  </w:style>
  <w:style w:type="character" w:styleId="WW8Num9z0">
    <w:name w:val="WW8Num9z0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2z0">
    <w:name w:val="WW8Num12z0"/>
    <w:qFormat/>
    <w:rPr>
      <w:rFonts w:ascii="Symbol" w:hAnsi="Symbol" w:cs="Symbol"/>
    </w:rPr>
  </w:style>
  <w:style w:type="character" w:styleId="WW8Num13z0">
    <w:name w:val="WW8Num13z0"/>
    <w:qFormat/>
    <w:rPr>
      <w:rFonts w:ascii="Wingdings" w:hAnsi="Wingdings" w:cs="Wingdings"/>
    </w:rPr>
  </w:style>
  <w:style w:type="character" w:styleId="WW8Num14z0">
    <w:name w:val="WW8Num14z0"/>
    <w:qFormat/>
    <w:rPr>
      <w:rFonts w:ascii="Wingdings" w:hAnsi="Wingdings" w:cs="Wingdings"/>
    </w:rPr>
  </w:style>
  <w:style w:type="character" w:styleId="WW8Num15z0">
    <w:name w:val="WW8Num15z0"/>
    <w:qFormat/>
    <w:rPr>
      <w:rFonts w:ascii="Wingdings" w:hAnsi="Wingdings" w:cs="Wingdings"/>
    </w:rPr>
  </w:style>
  <w:style w:type="character" w:styleId="WW8Num16z0">
    <w:name w:val="WW8Num16z0"/>
    <w:qFormat/>
    <w:rPr>
      <w:rFonts w:ascii="Wingdings" w:hAnsi="Wingdings" w:cs="Wingdings"/>
    </w:rPr>
  </w:style>
  <w:style w:type="character" w:styleId="WW8Num17z0">
    <w:name w:val="WW8Num17z0"/>
    <w:qFormat/>
    <w:rPr>
      <w:rFonts w:ascii="Wingdings" w:hAnsi="Wingdings" w:cs="Wingdings"/>
    </w:rPr>
  </w:style>
  <w:style w:type="character" w:styleId="WW8Num19z0">
    <w:name w:val="WW8Num19z0"/>
    <w:qFormat/>
    <w:rPr>
      <w:rFonts w:ascii="Wingdings" w:hAnsi="Wingdings" w:cs="Wingdings"/>
    </w:rPr>
  </w:style>
  <w:style w:type="character" w:styleId="WW8Num20z0">
    <w:name w:val="WW8Num20z0"/>
    <w:qFormat/>
    <w:rPr>
      <w:rFonts w:ascii="Wingdings" w:hAnsi="Wingdings" w:cs="Wingdings"/>
    </w:rPr>
  </w:style>
  <w:style w:type="character" w:styleId="WW8Num21z0">
    <w:name w:val="WW8Num21z0"/>
    <w:qFormat/>
    <w:rPr>
      <w:rFonts w:ascii="Wingdings" w:hAnsi="Wingdings" w:cs="Wingdings"/>
    </w:rPr>
  </w:style>
  <w:style w:type="character" w:styleId="WW8Num22z0">
    <w:name w:val="WW8Num22z0"/>
    <w:qFormat/>
    <w:rPr>
      <w:rFonts w:ascii="Wingdings" w:hAnsi="Wingdings" w:cs="Wingdings"/>
    </w:rPr>
  </w:style>
  <w:style w:type="character" w:styleId="WW8Num23z0">
    <w:name w:val="WW8Num23z0"/>
    <w:qFormat/>
    <w:rPr>
      <w:rFonts w:ascii="Wingdings" w:hAnsi="Wingdings" w:cs="Wingdings"/>
    </w:rPr>
  </w:style>
  <w:style w:type="character" w:styleId="WW8Num24z0">
    <w:name w:val="WW8Num24z0"/>
    <w:qFormat/>
    <w:rPr>
      <w:rFonts w:ascii="Wingdings" w:hAnsi="Wingdings" w:cs="Wingdings"/>
    </w:rPr>
  </w:style>
  <w:style w:type="character" w:styleId="WW8Num25z0">
    <w:name w:val="WW8Num25z0"/>
    <w:qFormat/>
    <w:rPr>
      <w:rFonts w:ascii="Wingdings" w:hAnsi="Wingdings" w:cs="Wingdings"/>
    </w:rPr>
  </w:style>
  <w:style w:type="character" w:styleId="WW8Num26z0">
    <w:name w:val="WW8Num26z0"/>
    <w:qFormat/>
    <w:rPr>
      <w:rFonts w:ascii="Wingdings" w:hAnsi="Wingdings" w:cs="Wingdings"/>
    </w:rPr>
  </w:style>
  <w:style w:type="character" w:styleId="WW8Num27z0">
    <w:name w:val="WW8Num27z0"/>
    <w:qFormat/>
    <w:rPr>
      <w:rFonts w:ascii="Wingdings" w:hAnsi="Wingdings" w:cs="Wingdings"/>
    </w:rPr>
  </w:style>
  <w:style w:type="character" w:styleId="WW8Num28z0">
    <w:name w:val="WW8Num28z0"/>
    <w:qFormat/>
    <w:rPr>
      <w:rFonts w:ascii="Wingdings" w:hAnsi="Wingdings" w:cs="Wingdings"/>
    </w:rPr>
  </w:style>
  <w:style w:type="character" w:styleId="WW8Num29z0">
    <w:name w:val="WW8Num29z0"/>
    <w:qFormat/>
    <w:rPr>
      <w:rFonts w:ascii="Wingdings" w:hAnsi="Wingdings" w:cs="Wingdings"/>
    </w:rPr>
  </w:style>
  <w:style w:type="character" w:styleId="WW8Num30z0">
    <w:name w:val="WW8Num30z0"/>
    <w:qFormat/>
    <w:rPr>
      <w:rFonts w:ascii="Wingdings" w:hAnsi="Wingdings" w:cs="Wingdings"/>
    </w:rPr>
  </w:style>
  <w:style w:type="character" w:styleId="WW8Num31z0">
    <w:name w:val="WW8Num31z0"/>
    <w:qFormat/>
    <w:rPr>
      <w:rFonts w:ascii="Symbol" w:hAnsi="Symbol" w:cs="Symbol"/>
    </w:rPr>
  </w:style>
  <w:style w:type="character" w:styleId="WW8Num32z0">
    <w:name w:val="WW8Num32z0"/>
    <w:qFormat/>
    <w:rPr>
      <w:rFonts w:ascii="Symbol" w:hAnsi="Symbol" w:cs="Symbol"/>
    </w:rPr>
  </w:style>
  <w:style w:type="character" w:styleId="WW8Num33z0">
    <w:name w:val="WW8Num33z0"/>
    <w:qFormat/>
    <w:rPr>
      <w:rFonts w:ascii="Wingdings" w:hAnsi="Wingdings" w:cs="Wingdings"/>
    </w:rPr>
  </w:style>
  <w:style w:type="character" w:styleId="WW8Num34z0">
    <w:name w:val="WW8Num34z0"/>
    <w:qFormat/>
    <w:rPr>
      <w:rFonts w:ascii="Wingdings" w:hAnsi="Wingdings" w:cs="Wingdings"/>
    </w:rPr>
  </w:style>
  <w:style w:type="character" w:styleId="WW8Num35z0">
    <w:name w:val="WW8Num35z0"/>
    <w:qFormat/>
    <w:rPr>
      <w:rFonts w:ascii="Wingdings" w:hAnsi="Wingdings" w:cs="Wingdings"/>
    </w:rPr>
  </w:style>
  <w:style w:type="character" w:styleId="WW8Num36z0">
    <w:name w:val="WW8Num36z0"/>
    <w:qFormat/>
    <w:rPr>
      <w:rFonts w:ascii="Wingdings" w:hAnsi="Wingdings" w:cs="Wingdings"/>
    </w:rPr>
  </w:style>
  <w:style w:type="character" w:styleId="WW8Num37z0">
    <w:name w:val="WW8Num37z0"/>
    <w:qFormat/>
    <w:rPr>
      <w:rFonts w:ascii="Wingdings" w:hAnsi="Wingdings" w:cs="Wingdings"/>
    </w:rPr>
  </w:style>
  <w:style w:type="character" w:styleId="WW8Num38z0">
    <w:name w:val="WW8Num38z0"/>
    <w:qFormat/>
    <w:rPr>
      <w:rFonts w:ascii="Wingdings" w:hAnsi="Wingdings" w:cs="Wingdings"/>
    </w:rPr>
  </w:style>
  <w:style w:type="character" w:styleId="WW8Num39z0">
    <w:name w:val="WW8Num39z0"/>
    <w:qFormat/>
    <w:rPr>
      <w:rFonts w:ascii="Wingdings" w:hAnsi="Wingdings" w:cs="Wingdings"/>
    </w:rPr>
  </w:style>
  <w:style w:type="character" w:styleId="WW8Num40z0">
    <w:name w:val="WW8Num40z0"/>
    <w:qFormat/>
    <w:rPr>
      <w:rFonts w:ascii="Symbol" w:hAnsi="Symbol" w:cs="Symbol"/>
    </w:rPr>
  </w:style>
  <w:style w:type="character" w:styleId="WW8Num41z0">
    <w:name w:val="WW8Num41z0"/>
    <w:qFormat/>
    <w:rPr>
      <w:rFonts w:ascii="Symbol" w:hAnsi="Symbol" w:cs="Symbol"/>
    </w:rPr>
  </w:style>
  <w:style w:type="character" w:styleId="WW8Num42z0">
    <w:name w:val="WW8Num42z0"/>
    <w:qFormat/>
    <w:rPr>
      <w:rFonts w:ascii="Wingdings" w:hAnsi="Wingdings" w:cs="Wingdings"/>
    </w:rPr>
  </w:style>
  <w:style w:type="character" w:styleId="WW8Num43z0">
    <w:name w:val="WW8Num43z0"/>
    <w:qFormat/>
    <w:rPr>
      <w:rFonts w:ascii="Wingdings" w:hAnsi="Wingdings" w:cs="Wingdings"/>
    </w:rPr>
  </w:style>
  <w:style w:type="character" w:styleId="WW8Num44z0">
    <w:name w:val="WW8Num44z0"/>
    <w:qFormat/>
    <w:rPr>
      <w:rFonts w:ascii="Wingdings" w:hAnsi="Wingdings" w:cs="Wingdings"/>
    </w:rPr>
  </w:style>
  <w:style w:type="character" w:styleId="WW8Num45z0">
    <w:name w:val="WW8Num45z0"/>
    <w:qFormat/>
    <w:rPr>
      <w:rFonts w:ascii="Wingdings" w:hAnsi="Wingdings" w:cs="Wingdings"/>
    </w:rPr>
  </w:style>
  <w:style w:type="character" w:styleId="WW8Num46z0">
    <w:name w:val="WW8Num46z0"/>
    <w:qFormat/>
    <w:rPr>
      <w:rFonts w:ascii="Wingdings" w:hAnsi="Wingdings" w:cs="Wingdings"/>
    </w:rPr>
  </w:style>
  <w:style w:type="character" w:styleId="WW8Num47z0">
    <w:name w:val="WW8Num47z0"/>
    <w:qFormat/>
    <w:rPr>
      <w:rFonts w:ascii="Wingdings" w:hAnsi="Wingdings" w:cs="Wingdings"/>
    </w:rPr>
  </w:style>
  <w:style w:type="character" w:styleId="WW8Num48z0">
    <w:name w:val="WW8Num48z0"/>
    <w:qFormat/>
    <w:rPr>
      <w:rFonts w:ascii="Wingdings" w:hAnsi="Wingdings" w:cs="Wingdings"/>
    </w:rPr>
  </w:style>
  <w:style w:type="character" w:styleId="WW8Num49z0">
    <w:name w:val="WW8Num49z0"/>
    <w:qFormat/>
    <w:rPr>
      <w:rFonts w:ascii="Wingdings" w:hAnsi="Wingdings" w:cs="Wingdings"/>
    </w:rPr>
  </w:style>
  <w:style w:type="character" w:styleId="WW8Num50z0">
    <w:name w:val="WW8Num50z0"/>
    <w:qFormat/>
    <w:rPr>
      <w:rFonts w:ascii="Wingdings" w:hAnsi="Wingdings" w:cs="Wingdings"/>
    </w:rPr>
  </w:style>
  <w:style w:type="character" w:styleId="WW8Num51z0">
    <w:name w:val="WW8Num51z0"/>
    <w:qFormat/>
    <w:rPr>
      <w:rFonts w:ascii="Wingdings" w:hAnsi="Wingdings" w:cs="Wingdings"/>
    </w:rPr>
  </w:style>
  <w:style w:type="character" w:styleId="WW8Num52z0">
    <w:name w:val="WW8Num52z0"/>
    <w:qFormat/>
    <w:rPr>
      <w:rFonts w:ascii="Wingdings" w:hAnsi="Wingdings" w:cs="Wingdings"/>
    </w:rPr>
  </w:style>
  <w:style w:type="character" w:styleId="WW8Num53z0">
    <w:name w:val="WW8Num53z0"/>
    <w:qFormat/>
    <w:rPr>
      <w:rFonts w:ascii="Wingdings" w:hAnsi="Wingdings" w:cs="Wingdings"/>
    </w:rPr>
  </w:style>
  <w:style w:type="character" w:styleId="WW8Num54z0">
    <w:name w:val="WW8Num54z0"/>
    <w:qFormat/>
    <w:rPr>
      <w:rFonts w:ascii="Wingdings" w:hAnsi="Wingdings" w:cs="Wingdings"/>
    </w:rPr>
  </w:style>
  <w:style w:type="character" w:styleId="WW8Num55z0">
    <w:name w:val="WW8Num55z0"/>
    <w:qFormat/>
    <w:rPr>
      <w:rFonts w:ascii="Wingdings" w:hAnsi="Wingdings" w:cs="Wingdings"/>
    </w:rPr>
  </w:style>
  <w:style w:type="character" w:styleId="WW8Num56z0">
    <w:name w:val="WW8Num56z0"/>
    <w:qFormat/>
    <w:rPr>
      <w:rFonts w:ascii="Wingdings" w:hAnsi="Wingdings" w:cs="Wingdings"/>
    </w:rPr>
  </w:style>
  <w:style w:type="character" w:styleId="WW8Num57z0">
    <w:name w:val="WW8Num57z0"/>
    <w:qFormat/>
    <w:rPr>
      <w:rFonts w:ascii="Wingdings" w:hAnsi="Wingdings" w:cs="Wingdings"/>
    </w:rPr>
  </w:style>
  <w:style w:type="character" w:styleId="WW8Num58z0">
    <w:name w:val="WW8Num58z0"/>
    <w:qFormat/>
    <w:rPr>
      <w:rFonts w:ascii="Wingdings" w:hAnsi="Wingdings" w:cs="Wingdings"/>
    </w:rPr>
  </w:style>
  <w:style w:type="character" w:styleId="WW8Num59z0">
    <w:name w:val="WW8Num59z0"/>
    <w:qFormat/>
    <w:rPr>
      <w:rFonts w:ascii="Wingdings" w:hAnsi="Wingdings" w:cs="Wingdings"/>
    </w:rPr>
  </w:style>
  <w:style w:type="character" w:styleId="WW8Num61z0">
    <w:name w:val="WW8Num61z0"/>
    <w:qFormat/>
    <w:rPr>
      <w:rFonts w:ascii="Wingdings" w:hAnsi="Wingdings" w:cs="Wingdings"/>
    </w:rPr>
  </w:style>
  <w:style w:type="character" w:styleId="WW8Num62z0">
    <w:name w:val="WW8Num62z0"/>
    <w:qFormat/>
    <w:rPr>
      <w:rFonts w:ascii="Wingdings" w:hAnsi="Wingdings" w:cs="Wingdings"/>
    </w:rPr>
  </w:style>
  <w:style w:type="character" w:styleId="WW8Num63z0">
    <w:name w:val="WW8Num63z0"/>
    <w:qFormat/>
    <w:rPr>
      <w:rFonts w:ascii="Wingdings" w:hAnsi="Wingdings" w:cs="Wingdings"/>
    </w:rPr>
  </w:style>
  <w:style w:type="character" w:styleId="WW8Num64z0">
    <w:name w:val="WW8Num64z0"/>
    <w:qFormat/>
    <w:rPr>
      <w:rFonts w:ascii="Wingdings" w:hAnsi="Wingdings" w:cs="Wingdings"/>
    </w:rPr>
  </w:style>
  <w:style w:type="character" w:styleId="WW8Num65z0">
    <w:name w:val="WW8Num65z0"/>
    <w:qFormat/>
    <w:rPr>
      <w:rFonts w:ascii="Wingdings" w:hAnsi="Wingdings" w:cs="Wingdings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character" w:styleId="PageNumber">
    <w:name w:val="page number"/>
    <w:basedOn w:val="DefaultParagraphFont"/>
    <w:rPr/>
  </w:style>
  <w:style w:type="paragraph" w:styleId="Heading">
    <w:name w:val="Heading"/>
    <w:basedOn w:val="Normal"/>
    <w:next w:val="BodyText"/>
    <w:qFormat/>
    <w:pPr>
      <w:jc w:val="center"/>
    </w:pPr>
    <w:rPr>
      <w:b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Subtitle">
    <w:name w:val="Subtitle"/>
    <w:basedOn w:val="Normal"/>
    <w:next w:val="BodyText"/>
    <w:qFormat/>
    <w:pPr>
      <w:jc w:val="center"/>
    </w:pPr>
    <w:rPr>
      <w:sz w:val="24"/>
    </w:rPr>
  </w:style>
  <w:style w:type="paragraph" w:styleId="BodyTextIndent">
    <w:name w:val="Body Text Indent"/>
    <w:basedOn w:val="Normal"/>
    <w:pPr>
      <w:ind w:hanging="0" w:start="2160" w:end="0"/>
    </w:pPr>
    <w:rPr>
      <w:sz w:val="24"/>
    </w:rPr>
  </w:style>
  <w:style w:type="paragraph" w:styleId="BodyText2">
    <w:name w:val="Body Text 2"/>
    <w:basedOn w:val="Normal"/>
    <w:qFormat/>
    <w:pPr>
      <w:tabs>
        <w:tab w:val="clear" w:pos="720"/>
        <w:tab w:val="right" w:pos="9270" w:leader="none"/>
      </w:tabs>
      <w:jc w:val="both"/>
    </w:pPr>
    <w:rPr/>
  </w:style>
  <w:style w:type="paragraph" w:styleId="BodyTextIndent3">
    <w:name w:val="Body Text Indent 3"/>
    <w:basedOn w:val="Normal"/>
    <w:qFormat/>
    <w:pPr>
      <w:ind w:hanging="180" w:start="540" w:end="0"/>
    </w:pPr>
    <w:rPr>
      <w:sz w:val="24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rameContents">
    <w:name w:val="Frame Contents"/>
    <w:basedOn w:val="Normal"/>
    <w:qFormat/>
    <w:pPr/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  <w:style w:type="numbering" w:styleId="WW8Num31">
    <w:name w:val="WW8Num31"/>
    <w:qFormat/>
  </w:style>
  <w:style w:type="numbering" w:styleId="WW8Num32">
    <w:name w:val="WW8Num32"/>
    <w:qFormat/>
  </w:style>
  <w:style w:type="numbering" w:styleId="WW8Num33">
    <w:name w:val="WW8Num33"/>
    <w:qFormat/>
  </w:style>
  <w:style w:type="numbering" w:styleId="WW8Num34">
    <w:name w:val="WW8Num34"/>
    <w:qFormat/>
  </w:style>
  <w:style w:type="numbering" w:styleId="WW8Num35">
    <w:name w:val="WW8Num35"/>
    <w:qFormat/>
  </w:style>
  <w:style w:type="numbering" w:styleId="WW8Num36">
    <w:name w:val="WW8Num36"/>
    <w:qFormat/>
  </w:style>
  <w:style w:type="numbering" w:styleId="WW8Num37">
    <w:name w:val="WW8Num37"/>
    <w:qFormat/>
  </w:style>
  <w:style w:type="numbering" w:styleId="WW8Num38">
    <w:name w:val="WW8Num38"/>
    <w:qFormat/>
  </w:style>
  <w:style w:type="numbering" w:styleId="WW8Num39">
    <w:name w:val="WW8Num39"/>
    <w:qFormat/>
  </w:style>
  <w:style w:type="numbering" w:styleId="WW8Num40">
    <w:name w:val="WW8Num40"/>
    <w:qFormat/>
  </w:style>
  <w:style w:type="numbering" w:styleId="WW8Num41">
    <w:name w:val="WW8Num41"/>
    <w:qFormat/>
  </w:style>
  <w:style w:type="numbering" w:styleId="WW8Num42">
    <w:name w:val="WW8Num42"/>
    <w:qFormat/>
  </w:style>
  <w:style w:type="numbering" w:styleId="WW8Num43">
    <w:name w:val="WW8Num43"/>
    <w:qFormat/>
  </w:style>
  <w:style w:type="numbering" w:styleId="WW8Num44">
    <w:name w:val="WW8Num44"/>
    <w:qFormat/>
  </w:style>
  <w:style w:type="numbering" w:styleId="WW8Num45">
    <w:name w:val="WW8Num45"/>
    <w:qFormat/>
  </w:style>
  <w:style w:type="numbering" w:styleId="WW8Num46">
    <w:name w:val="WW8Num46"/>
    <w:qFormat/>
  </w:style>
  <w:style w:type="numbering" w:styleId="WW8Num47">
    <w:name w:val="WW8Num47"/>
    <w:qFormat/>
  </w:style>
  <w:style w:type="numbering" w:styleId="WW8Num48">
    <w:name w:val="WW8Num48"/>
    <w:qFormat/>
  </w:style>
  <w:style w:type="numbering" w:styleId="WW8Num49">
    <w:name w:val="WW8Num49"/>
    <w:qFormat/>
  </w:style>
  <w:style w:type="numbering" w:styleId="WW8Num50">
    <w:name w:val="WW8Num50"/>
    <w:qFormat/>
  </w:style>
  <w:style w:type="numbering" w:styleId="WW8Num51">
    <w:name w:val="WW8Num51"/>
    <w:qFormat/>
  </w:style>
  <w:style w:type="numbering" w:styleId="WW8Num52">
    <w:name w:val="WW8Num52"/>
    <w:qFormat/>
  </w:style>
  <w:style w:type="numbering" w:styleId="WW8Num53">
    <w:name w:val="WW8Num53"/>
    <w:qFormat/>
  </w:style>
  <w:style w:type="numbering" w:styleId="WW8Num54">
    <w:name w:val="WW8Num54"/>
    <w:qFormat/>
  </w:style>
  <w:style w:type="numbering" w:styleId="WW8Num55">
    <w:name w:val="WW8Num55"/>
    <w:qFormat/>
  </w:style>
  <w:style w:type="numbering" w:styleId="WW8Num56">
    <w:name w:val="WW8Num56"/>
    <w:qFormat/>
  </w:style>
  <w:style w:type="numbering" w:styleId="WW8Num57">
    <w:name w:val="WW8Num57"/>
    <w:qFormat/>
  </w:style>
  <w:style w:type="numbering" w:styleId="WW8Num58">
    <w:name w:val="WW8Num58"/>
    <w:qFormat/>
  </w:style>
  <w:style w:type="numbering" w:styleId="WW8Num59">
    <w:name w:val="WW8Num59"/>
    <w:qFormat/>
  </w:style>
  <w:style w:type="numbering" w:styleId="WW8Num60">
    <w:name w:val="WW8Num60"/>
    <w:qFormat/>
  </w:style>
  <w:style w:type="numbering" w:styleId="WW8Num61">
    <w:name w:val="WW8Num61"/>
    <w:qFormat/>
  </w:style>
  <w:style w:type="numbering" w:styleId="WW8Num62">
    <w:name w:val="WW8Num62"/>
    <w:qFormat/>
  </w:style>
  <w:style w:type="numbering" w:styleId="WW8Num63">
    <w:name w:val="WW8Num63"/>
    <w:qFormat/>
  </w:style>
  <w:style w:type="numbering" w:styleId="WW8Num64">
    <w:name w:val="WW8Num64"/>
    <w:qFormat/>
  </w:style>
  <w:style w:type="numbering" w:styleId="WW8Num65">
    <w:name w:val="WW8Num6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2001-12-06T15:23:00Z</dcterms:created>
  <dc:creator>Tim Blanchard</dc:creator>
  <dc:description/>
  <dc:language>en-CA</dc:language>
  <cp:lastModifiedBy>Vladi Pimenov</cp:lastModifiedBy>
  <cp:lastPrinted>2001-04-23T18:16:00Z</cp:lastPrinted>
  <dcterms:modified xsi:type="dcterms:W3CDTF">2001-12-06T15:26:00Z</dcterms:modified>
  <cp:revision>5</cp:revision>
  <dc:subject/>
  <dc:title>TIMOTHY E</dc:title>
</cp:coreProperties>
</file>