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lang w:val="es-MX"/>
        </w:rPr>
      </w:pPr>
      <w:r>
        <w:rPr>
          <w:lang w:val="es-MX"/>
        </w:rPr>
        <w:t>JUAN SEADE</w:t>
      </w:r>
    </w:p>
    <w:p>
      <w:pPr>
        <w:pStyle w:val="Normal"/>
        <w:numPr>
          <w:ilvl w:val="0"/>
          <w:numId w:val="0"/>
        </w:numPr>
        <w:jc w:val="center"/>
        <w:outlineLvl w:val="0"/>
        <w:rPr>
          <w:lang w:val="es-MX"/>
        </w:rPr>
      </w:pPr>
      <w:r>
        <w:rPr>
          <w:lang w:val="es-MX"/>
        </w:rPr>
        <w:t>796 Escondido Road Apt 29C</w:t>
      </w:r>
    </w:p>
    <w:p>
      <w:pPr>
        <w:pStyle w:val="Normal"/>
        <w:numPr>
          <w:ilvl w:val="0"/>
          <w:numId w:val="0"/>
        </w:numPr>
        <w:jc w:val="center"/>
        <w:outlineLvl w:val="0"/>
        <w:rPr/>
      </w:pPr>
      <w:r>
        <w:rPr/>
        <w:t>Stanford, CA 94305</w:t>
      </w:r>
    </w:p>
    <w:p>
      <w:pPr>
        <w:pStyle w:val="Normal"/>
        <w:numPr>
          <w:ilvl w:val="0"/>
          <w:numId w:val="0"/>
        </w:numPr>
        <w:jc w:val="center"/>
        <w:outlineLvl w:val="0"/>
        <w:rPr/>
      </w:pPr>
      <w:r>
        <w:rPr/>
        <w:t>(650) 497-3705</w:t>
      </w:r>
    </w:p>
    <w:p>
      <w:pPr>
        <w:pStyle w:val="Normal"/>
        <w:numPr>
          <w:ilvl w:val="0"/>
          <w:numId w:val="0"/>
        </w:numPr>
        <w:jc w:val="center"/>
        <w:outlineLvl w:val="0"/>
        <w:rPr/>
      </w:pPr>
      <w:r>
        <w:rPr/>
        <w:t>jseade@stanford.edu</w:t>
      </w:r>
    </w:p>
    <w:p>
      <w:pPr>
        <w:pStyle w:val="Normal"/>
        <w:numPr>
          <w:ilvl w:val="0"/>
          <w:numId w:val="0"/>
        </w:numPr>
        <w:spacing w:lineRule="auto" w:line="312"/>
        <w:jc w:val="center"/>
        <w:outlineLvl w:val="0"/>
        <w:rPr>
          <w:sz w:val="18"/>
        </w:rPr>
      </w:pPr>
      <w:r>
        <w:rPr>
          <w:sz w:val="18"/>
        </w:rPr>
      </w:r>
    </w:p>
    <w:p>
      <w:pPr>
        <w:pStyle w:val="Heading2"/>
        <w:ind w:hanging="0" w:start="0"/>
        <w:rPr>
          <w:b w:val="false"/>
          <w:bCs/>
          <w:sz w:val="20"/>
          <w:u w:val="single"/>
        </w:rPr>
      </w:pPr>
      <w:r>
        <w:rPr>
          <w:b w:val="false"/>
          <w:bCs/>
          <w:sz w:val="20"/>
          <w:u w:val="single"/>
        </w:rPr>
        <w:t>Education</w:t>
      </w:r>
    </w:p>
    <w:p>
      <w:pPr>
        <w:pStyle w:val="Normal"/>
        <w:spacing w:lineRule="auto" w:line="144"/>
        <w:rPr>
          <w:b/>
          <w:bCs/>
          <w:sz w:val="20"/>
          <w:u w:val="single"/>
        </w:rPr>
      </w:pPr>
      <w:r>
        <w:rPr>
          <w:b/>
          <w:bCs/>
          <w:sz w:val="20"/>
          <w:u w:val="single"/>
        </w:rPr>
      </w:r>
    </w:p>
    <w:tbl>
      <w:tblPr>
        <w:tblW w:w="9970" w:type="dxa"/>
        <w:jc w:val="start"/>
        <w:tblInd w:w="0" w:type="dxa"/>
        <w:tblLayout w:type="fixed"/>
        <w:tblCellMar>
          <w:top w:w="0" w:type="dxa"/>
          <w:start w:w="70" w:type="dxa"/>
          <w:bottom w:w="0" w:type="dxa"/>
          <w:end w:w="70" w:type="dxa"/>
        </w:tblCellMar>
      </w:tblPr>
      <w:tblGrid>
        <w:gridCol w:w="1510"/>
        <w:gridCol w:w="6300"/>
        <w:gridCol w:w="2160"/>
      </w:tblGrid>
      <w:tr>
        <w:trPr/>
        <w:tc>
          <w:tcPr>
            <w:tcW w:w="1510" w:type="dxa"/>
            <w:tcBorders/>
          </w:tcPr>
          <w:p>
            <w:pPr>
              <w:pStyle w:val="Normal"/>
              <w:tabs>
                <w:tab w:val="clear" w:pos="720"/>
                <w:tab w:val="left" w:pos="1843" w:leader="none"/>
              </w:tabs>
              <w:rPr/>
            </w:pPr>
            <w:r>
              <w:rPr/>
              <w:t>2000</w:t>
            </w:r>
          </w:p>
        </w:tc>
        <w:tc>
          <w:tcPr>
            <w:tcW w:w="6300" w:type="dxa"/>
            <w:tcBorders/>
          </w:tcPr>
          <w:p>
            <w:pPr>
              <w:pStyle w:val="Normal"/>
              <w:tabs>
                <w:tab w:val="clear" w:pos="720"/>
                <w:tab w:val="left" w:pos="1843" w:leader="none"/>
              </w:tabs>
              <w:rPr>
                <w:b/>
                <w:bCs/>
              </w:rPr>
            </w:pPr>
            <w:r>
              <w:rPr>
                <w:b/>
                <w:bCs/>
              </w:rPr>
              <w:t>Stanford Graduate School of Business</w:t>
            </w:r>
          </w:p>
        </w:tc>
        <w:tc>
          <w:tcPr>
            <w:tcW w:w="2160" w:type="dxa"/>
            <w:tcBorders/>
          </w:tcPr>
          <w:p>
            <w:pPr>
              <w:pStyle w:val="Normal"/>
              <w:tabs>
                <w:tab w:val="clear" w:pos="720"/>
                <w:tab w:val="left" w:pos="1843" w:leader="none"/>
              </w:tabs>
              <w:jc w:val="end"/>
              <w:rPr>
                <w:b/>
                <w:bCs/>
              </w:rPr>
            </w:pPr>
            <w:r>
              <w:rPr/>
              <w:t>Stanford, CA</w:t>
            </w:r>
          </w:p>
        </w:tc>
      </w:tr>
      <w:tr>
        <w:trPr/>
        <w:tc>
          <w:tcPr>
            <w:tcW w:w="1510" w:type="dxa"/>
            <w:tcBorders/>
          </w:tcPr>
          <w:p>
            <w:pPr>
              <w:pStyle w:val="Normal"/>
              <w:tabs>
                <w:tab w:val="clear" w:pos="720"/>
                <w:tab w:val="left" w:pos="1843" w:leader="none"/>
              </w:tabs>
              <w:snapToGrid w:val="false"/>
              <w:rPr>
                <w:b/>
                <w:bCs/>
                <w:u w:val="single"/>
              </w:rPr>
            </w:pPr>
            <w:r>
              <w:rPr>
                <w:b/>
                <w:bCs/>
                <w:u w:val="single"/>
              </w:rPr>
            </w:r>
          </w:p>
        </w:tc>
        <w:tc>
          <w:tcPr>
            <w:tcW w:w="8460" w:type="dxa"/>
            <w:gridSpan w:val="2"/>
            <w:tcBorders/>
          </w:tcPr>
          <w:p>
            <w:pPr>
              <w:pStyle w:val="Normal"/>
              <w:tabs>
                <w:tab w:val="clear" w:pos="720"/>
                <w:tab w:val="left" w:pos="1843" w:leader="none"/>
              </w:tabs>
              <w:jc w:val="both"/>
              <w:rPr/>
            </w:pPr>
            <w:r>
              <w:rPr>
                <w:b/>
                <w:bCs/>
                <w:i/>
                <w:iCs/>
              </w:rPr>
              <w:t>MBA candidate</w:t>
            </w:r>
            <w:r>
              <w:rPr/>
              <w:t>, June 2002</w:t>
            </w:r>
          </w:p>
          <w:p>
            <w:pPr>
              <w:pStyle w:val="Normal"/>
              <w:numPr>
                <w:ilvl w:val="0"/>
                <w:numId w:val="6"/>
              </w:numPr>
              <w:tabs>
                <w:tab w:val="clear" w:pos="720"/>
                <w:tab w:val="left" w:pos="360" w:leader="none"/>
                <w:tab w:val="left" w:pos="1843" w:leader="none"/>
              </w:tabs>
              <w:jc w:val="both"/>
              <w:rPr>
                <w:i/>
                <w:i/>
                <w:iCs/>
              </w:rPr>
            </w:pPr>
            <w:r>
              <w:rPr/>
              <w:t>Member of Investment Club</w:t>
            </w:r>
          </w:p>
        </w:tc>
      </w:tr>
    </w:tbl>
    <w:p>
      <w:pPr>
        <w:pStyle w:val="Normal"/>
        <w:spacing w:lineRule="auto" w:line="192"/>
        <w:rPr>
          <w:b/>
        </w:rPr>
      </w:pPr>
      <w:r>
        <w:rPr>
          <w:b/>
        </w:rPr>
      </w:r>
    </w:p>
    <w:tbl>
      <w:tblPr>
        <w:tblW w:w="9970" w:type="dxa"/>
        <w:jc w:val="start"/>
        <w:tblInd w:w="0" w:type="dxa"/>
        <w:tblLayout w:type="fixed"/>
        <w:tblCellMar>
          <w:top w:w="0" w:type="dxa"/>
          <w:start w:w="70" w:type="dxa"/>
          <w:bottom w:w="0" w:type="dxa"/>
          <w:end w:w="70" w:type="dxa"/>
        </w:tblCellMar>
      </w:tblPr>
      <w:tblGrid>
        <w:gridCol w:w="1510"/>
        <w:gridCol w:w="6300"/>
        <w:gridCol w:w="2160"/>
      </w:tblGrid>
      <w:tr>
        <w:trPr/>
        <w:tc>
          <w:tcPr>
            <w:tcW w:w="1510" w:type="dxa"/>
            <w:tcBorders/>
          </w:tcPr>
          <w:p>
            <w:pPr>
              <w:pStyle w:val="Normal"/>
              <w:tabs>
                <w:tab w:val="clear" w:pos="720"/>
                <w:tab w:val="left" w:pos="1843" w:leader="none"/>
              </w:tabs>
              <w:rPr>
                <w:lang w:val="es-MX"/>
              </w:rPr>
            </w:pPr>
            <w:r>
              <w:rPr>
                <w:lang w:val="es-MX"/>
              </w:rPr>
              <w:t>1993 - 1998</w:t>
            </w:r>
          </w:p>
        </w:tc>
        <w:tc>
          <w:tcPr>
            <w:tcW w:w="6300" w:type="dxa"/>
            <w:tcBorders/>
          </w:tcPr>
          <w:p>
            <w:pPr>
              <w:pStyle w:val="Normal"/>
              <w:tabs>
                <w:tab w:val="clear" w:pos="720"/>
                <w:tab w:val="left" w:pos="1843" w:leader="none"/>
              </w:tabs>
              <w:jc w:val="both"/>
              <w:rPr>
                <w:i/>
                <w:i/>
                <w:iCs/>
                <w:lang w:val="es-MX"/>
              </w:rPr>
            </w:pPr>
            <w:r>
              <w:rPr>
                <w:b/>
                <w:bCs/>
                <w:lang w:val="es-MX"/>
              </w:rPr>
              <w:t>Instituto Tecnológico Autónomo de México (ITAM)</w:t>
            </w:r>
          </w:p>
        </w:tc>
        <w:tc>
          <w:tcPr>
            <w:tcW w:w="2160" w:type="dxa"/>
            <w:tcBorders/>
          </w:tcPr>
          <w:p>
            <w:pPr>
              <w:pStyle w:val="Normal"/>
              <w:tabs>
                <w:tab w:val="clear" w:pos="720"/>
                <w:tab w:val="left" w:pos="1843" w:leader="none"/>
              </w:tabs>
              <w:jc w:val="end"/>
              <w:rPr>
                <w:i/>
                <w:i/>
                <w:iCs/>
                <w:lang w:val="es-MX"/>
              </w:rPr>
            </w:pPr>
            <w:r>
              <w:rPr>
                <w:lang w:val="es-MX"/>
              </w:rPr>
              <w:t>Mexico City, Mexico</w:t>
            </w:r>
          </w:p>
        </w:tc>
      </w:tr>
      <w:tr>
        <w:trPr/>
        <w:tc>
          <w:tcPr>
            <w:tcW w:w="1510" w:type="dxa"/>
            <w:tcBorders/>
          </w:tcPr>
          <w:p>
            <w:pPr>
              <w:pStyle w:val="Normal"/>
              <w:tabs>
                <w:tab w:val="clear" w:pos="720"/>
                <w:tab w:val="left" w:pos="1843" w:leader="none"/>
              </w:tabs>
              <w:snapToGrid w:val="false"/>
              <w:rPr>
                <w:i/>
                <w:i/>
                <w:iCs/>
                <w:lang w:val="es-MX"/>
              </w:rPr>
            </w:pPr>
            <w:r>
              <w:rPr>
                <w:i/>
                <w:iCs/>
                <w:lang w:val="es-MX"/>
              </w:rPr>
            </w:r>
          </w:p>
          <w:p>
            <w:pPr>
              <w:pStyle w:val="Normal"/>
              <w:tabs>
                <w:tab w:val="clear" w:pos="720"/>
                <w:tab w:val="left" w:pos="1843" w:leader="none"/>
              </w:tabs>
              <w:rPr>
                <w:lang w:val="es-MX"/>
              </w:rPr>
            </w:pPr>
            <w:r>
              <w:rPr>
                <w:lang w:val="es-MX"/>
              </w:rPr>
            </w:r>
          </w:p>
          <w:p>
            <w:pPr>
              <w:pStyle w:val="Normal"/>
              <w:tabs>
                <w:tab w:val="clear" w:pos="720"/>
                <w:tab w:val="left" w:pos="1843" w:leader="none"/>
              </w:tabs>
              <w:rPr>
                <w:u w:val="single"/>
                <w:lang w:val="es-MX"/>
              </w:rPr>
            </w:pPr>
            <w:r>
              <w:rPr>
                <w:u w:val="single"/>
                <w:lang w:val="es-MX"/>
              </w:rPr>
            </w:r>
          </w:p>
        </w:tc>
        <w:tc>
          <w:tcPr>
            <w:tcW w:w="8460" w:type="dxa"/>
            <w:gridSpan w:val="2"/>
            <w:tcBorders/>
          </w:tcPr>
          <w:p>
            <w:pPr>
              <w:pStyle w:val="Heading1"/>
              <w:ind w:hanging="0" w:start="0"/>
              <w:rPr>
                <w:b/>
                <w:bCs/>
                <w:sz w:val="20"/>
              </w:rPr>
            </w:pPr>
            <w:r>
              <w:rPr>
                <w:b/>
                <w:bCs/>
                <w:sz w:val="20"/>
              </w:rPr>
              <w:t>BS in Economics</w:t>
            </w:r>
          </w:p>
          <w:p>
            <w:pPr>
              <w:pStyle w:val="Normal"/>
              <w:numPr>
                <w:ilvl w:val="0"/>
                <w:numId w:val="2"/>
              </w:numPr>
              <w:tabs>
                <w:tab w:val="clear" w:pos="720"/>
                <w:tab w:val="left" w:pos="360" w:leader="none"/>
                <w:tab w:val="left" w:pos="1843" w:leader="none"/>
              </w:tabs>
              <w:jc w:val="both"/>
              <w:rPr>
                <w:spacing w:val="-4"/>
              </w:rPr>
            </w:pPr>
            <w:r>
              <w:rPr>
                <w:spacing w:val="-4"/>
              </w:rPr>
              <w:t>Thesis: "Inflation and Relative Price Variability: The Case of Mexico from 1980 to 2000"</w:t>
            </w:r>
          </w:p>
          <w:p>
            <w:pPr>
              <w:pStyle w:val="Normal"/>
              <w:numPr>
                <w:ilvl w:val="0"/>
                <w:numId w:val="2"/>
              </w:numPr>
              <w:tabs>
                <w:tab w:val="clear" w:pos="720"/>
                <w:tab w:val="left" w:pos="360" w:leader="none"/>
                <w:tab w:val="left" w:pos="1843" w:leader="none"/>
              </w:tabs>
              <w:jc w:val="both"/>
              <w:rPr>
                <w:i/>
                <w:i/>
                <w:iCs/>
                <w:spacing w:val="-2"/>
              </w:rPr>
            </w:pPr>
            <w:r>
              <w:rPr/>
              <w:t>Teacher assistant, intermediate microeconomics and elementary macroeconomics</w:t>
            </w:r>
          </w:p>
        </w:tc>
      </w:tr>
    </w:tbl>
    <w:p>
      <w:pPr>
        <w:pStyle w:val="Normal"/>
        <w:spacing w:lineRule="auto" w:line="192"/>
        <w:rPr>
          <w:b/>
        </w:rPr>
      </w:pPr>
      <w:r>
        <w:rPr>
          <w:b/>
        </w:rPr>
      </w:r>
    </w:p>
    <w:p>
      <w:pPr>
        <w:pStyle w:val="Heading2"/>
        <w:ind w:hanging="0" w:start="0"/>
        <w:rPr>
          <w:b w:val="false"/>
          <w:bCs/>
          <w:sz w:val="20"/>
          <w:u w:val="single"/>
          <w:lang w:val="es-MX"/>
        </w:rPr>
      </w:pPr>
      <w:r>
        <w:rPr>
          <w:b w:val="false"/>
          <w:bCs/>
          <w:sz w:val="20"/>
          <w:u w:val="single"/>
          <w:lang w:val="es-MX"/>
        </w:rPr>
        <w:t>Experience</w:t>
      </w:r>
    </w:p>
    <w:p>
      <w:pPr>
        <w:pStyle w:val="Normal"/>
        <w:spacing w:lineRule="auto" w:line="144"/>
        <w:rPr>
          <w:b/>
          <w:bCs/>
          <w:sz w:val="20"/>
          <w:u w:val="single"/>
          <w:lang w:val="es-MX"/>
        </w:rPr>
      </w:pPr>
      <w:r>
        <w:rPr>
          <w:b/>
          <w:bCs/>
          <w:sz w:val="20"/>
          <w:u w:val="single"/>
          <w:lang w:val="es-MX"/>
        </w:rPr>
      </w:r>
    </w:p>
    <w:tbl>
      <w:tblPr>
        <w:tblW w:w="9970" w:type="dxa"/>
        <w:jc w:val="start"/>
        <w:tblInd w:w="0" w:type="dxa"/>
        <w:tblLayout w:type="fixed"/>
        <w:tblCellMar>
          <w:top w:w="0" w:type="dxa"/>
          <w:start w:w="70" w:type="dxa"/>
          <w:bottom w:w="0" w:type="dxa"/>
          <w:end w:w="70" w:type="dxa"/>
        </w:tblCellMar>
      </w:tblPr>
      <w:tblGrid>
        <w:gridCol w:w="1510"/>
        <w:gridCol w:w="6390"/>
        <w:gridCol w:w="2070"/>
      </w:tblGrid>
      <w:tr>
        <w:trPr>
          <w:trHeight w:val="198" w:hRule="atLeast"/>
        </w:trPr>
        <w:tc>
          <w:tcPr>
            <w:tcW w:w="1510" w:type="dxa"/>
            <w:tcBorders/>
          </w:tcPr>
          <w:p>
            <w:pPr>
              <w:pStyle w:val="Normal"/>
              <w:tabs>
                <w:tab w:val="clear" w:pos="720"/>
                <w:tab w:val="left" w:pos="1843" w:leader="none"/>
              </w:tabs>
              <w:rPr>
                <w:lang w:val="es-MX"/>
              </w:rPr>
            </w:pPr>
            <w:r>
              <w:rPr>
                <w:lang w:val="es-MX"/>
              </w:rPr>
              <w:t>1998 - 2000</w:t>
            </w:r>
          </w:p>
        </w:tc>
        <w:tc>
          <w:tcPr>
            <w:tcW w:w="6390" w:type="dxa"/>
            <w:tcBorders/>
          </w:tcPr>
          <w:p>
            <w:pPr>
              <w:pStyle w:val="Normal"/>
              <w:tabs>
                <w:tab w:val="clear" w:pos="720"/>
                <w:tab w:val="left" w:pos="0" w:leader="none"/>
              </w:tabs>
              <w:jc w:val="both"/>
              <w:rPr>
                <w:b/>
                <w:bCs/>
                <w:lang w:val="es-MX"/>
              </w:rPr>
            </w:pPr>
            <w:r>
              <w:rPr>
                <w:b/>
                <w:bCs/>
                <w:lang w:val="es-MX"/>
              </w:rPr>
              <w:t>Banco de México</w:t>
            </w:r>
          </w:p>
        </w:tc>
        <w:tc>
          <w:tcPr>
            <w:tcW w:w="2070" w:type="dxa"/>
            <w:tcBorders/>
          </w:tcPr>
          <w:p>
            <w:pPr>
              <w:pStyle w:val="Normal"/>
              <w:tabs>
                <w:tab w:val="clear" w:pos="720"/>
                <w:tab w:val="left" w:pos="0" w:leader="none"/>
              </w:tabs>
              <w:jc w:val="end"/>
              <w:rPr>
                <w:b/>
                <w:bCs/>
                <w:lang w:val="es-MX"/>
              </w:rPr>
            </w:pPr>
            <w:r>
              <w:rPr>
                <w:lang w:val="es-MX"/>
              </w:rPr>
              <w:t>Mexico City, Mexico</w:t>
            </w:r>
          </w:p>
        </w:tc>
      </w:tr>
      <w:tr>
        <w:trPr>
          <w:trHeight w:val="2412" w:hRule="atLeast"/>
        </w:trPr>
        <w:tc>
          <w:tcPr>
            <w:tcW w:w="1510" w:type="dxa"/>
            <w:tcBorders/>
          </w:tcPr>
          <w:p>
            <w:pPr>
              <w:pStyle w:val="Normal"/>
              <w:tabs>
                <w:tab w:val="clear" w:pos="720"/>
                <w:tab w:val="left" w:pos="1843" w:leader="none"/>
              </w:tabs>
              <w:snapToGrid w:val="false"/>
              <w:rPr>
                <w:b/>
                <w:bCs/>
                <w:u w:val="single"/>
                <w:lang w:val="es-MX"/>
              </w:rPr>
            </w:pPr>
            <w:r>
              <w:rPr>
                <w:b/>
                <w:bCs/>
                <w:u w:val="single"/>
                <w:lang w:val="es-MX"/>
              </w:rPr>
            </w:r>
          </w:p>
          <w:p>
            <w:pPr>
              <w:pStyle w:val="Normal"/>
              <w:tabs>
                <w:tab w:val="clear" w:pos="720"/>
                <w:tab w:val="left" w:pos="1843" w:leader="none"/>
              </w:tabs>
              <w:rPr>
                <w:lang w:val="es-MX"/>
              </w:rPr>
            </w:pPr>
            <w:r>
              <w:rPr>
                <w:lang w:val="es-MX"/>
              </w:rPr>
            </w:r>
          </w:p>
          <w:p>
            <w:pPr>
              <w:pStyle w:val="Normal"/>
              <w:tabs>
                <w:tab w:val="clear" w:pos="720"/>
                <w:tab w:val="left" w:pos="1843" w:leader="none"/>
              </w:tabs>
              <w:rPr>
                <w:lang w:val="es-MX"/>
              </w:rPr>
            </w:pPr>
            <w:r>
              <w:rPr>
                <w:lang w:val="es-MX"/>
              </w:rPr>
            </w:r>
          </w:p>
          <w:p>
            <w:pPr>
              <w:pStyle w:val="Normal"/>
              <w:tabs>
                <w:tab w:val="clear" w:pos="720"/>
                <w:tab w:val="left" w:pos="1843" w:leader="none"/>
              </w:tabs>
              <w:rPr>
                <w:i/>
                <w:i/>
                <w:iCs/>
                <w:lang w:val="es-MX"/>
              </w:rPr>
            </w:pPr>
            <w:r>
              <w:rPr>
                <w:i/>
                <w:iCs/>
                <w:lang w:val="es-MX"/>
              </w:rPr>
            </w:r>
          </w:p>
          <w:p>
            <w:pPr>
              <w:pStyle w:val="Normal"/>
              <w:tabs>
                <w:tab w:val="clear" w:pos="720"/>
                <w:tab w:val="left" w:pos="1843" w:leader="none"/>
              </w:tabs>
              <w:rPr>
                <w:i/>
                <w:i/>
                <w:iCs/>
                <w:lang w:val="es-MX"/>
              </w:rPr>
            </w:pPr>
            <w:r>
              <w:rPr>
                <w:i/>
                <w:iCs/>
                <w:lang w:val="es-MX"/>
              </w:rPr>
            </w:r>
          </w:p>
          <w:p>
            <w:pPr>
              <w:pStyle w:val="Normal"/>
              <w:tabs>
                <w:tab w:val="clear" w:pos="720"/>
                <w:tab w:val="left" w:pos="1843" w:leader="none"/>
              </w:tabs>
              <w:spacing w:lineRule="auto" w:line="264"/>
              <w:rPr>
                <w:lang w:val="es-MX"/>
              </w:rPr>
            </w:pPr>
            <w:r>
              <w:rPr>
                <w:lang w:val="es-MX"/>
              </w:rPr>
            </w:r>
          </w:p>
          <w:p>
            <w:pPr>
              <w:pStyle w:val="Normal"/>
              <w:tabs>
                <w:tab w:val="clear" w:pos="720"/>
                <w:tab w:val="left" w:pos="1843" w:leader="none"/>
              </w:tabs>
              <w:spacing w:lineRule="auto" w:line="288"/>
              <w:rPr>
                <w:lang w:val="es-MX"/>
              </w:rPr>
            </w:pPr>
            <w:r>
              <w:rPr>
                <w:lang w:val="es-MX"/>
              </w:rPr>
            </w:r>
          </w:p>
          <w:p>
            <w:pPr>
              <w:pStyle w:val="Normal"/>
              <w:tabs>
                <w:tab w:val="clear" w:pos="720"/>
                <w:tab w:val="left" w:pos="1843" w:leader="none"/>
              </w:tabs>
              <w:rPr>
                <w:lang w:val="es-MX"/>
              </w:rPr>
            </w:pPr>
            <w:r>
              <w:rPr>
                <w:lang w:val="es-MX"/>
              </w:rPr>
            </w:r>
          </w:p>
          <w:p>
            <w:pPr>
              <w:pStyle w:val="Normal"/>
              <w:tabs>
                <w:tab w:val="clear" w:pos="720"/>
                <w:tab w:val="left" w:pos="1843" w:leader="none"/>
              </w:tabs>
              <w:rPr>
                <w:lang w:val="es-MX"/>
              </w:rPr>
            </w:pPr>
            <w:r>
              <w:rPr>
                <w:lang w:val="es-MX"/>
              </w:rPr>
            </w:r>
          </w:p>
        </w:tc>
        <w:tc>
          <w:tcPr>
            <w:tcW w:w="8460" w:type="dxa"/>
            <w:gridSpan w:val="2"/>
            <w:tcBorders/>
          </w:tcPr>
          <w:p>
            <w:pPr>
              <w:pStyle w:val="Heading1"/>
              <w:tabs>
                <w:tab w:val="clear" w:pos="1843"/>
                <w:tab w:val="left" w:pos="0" w:leader="none"/>
              </w:tabs>
              <w:ind w:hanging="0" w:start="0"/>
              <w:rPr>
                <w:i w:val="false"/>
                <w:i w:val="false"/>
                <w:iCs w:val="false"/>
                <w:sz w:val="20"/>
              </w:rPr>
            </w:pPr>
            <w:r>
              <w:rPr>
                <w:i w:val="false"/>
                <w:iCs w:val="false"/>
                <w:sz w:val="20"/>
              </w:rPr>
              <w:t>Economic research department of Mexico’s central bank</w:t>
            </w:r>
          </w:p>
          <w:p>
            <w:pPr>
              <w:pStyle w:val="Heading1"/>
              <w:tabs>
                <w:tab w:val="clear" w:pos="1843"/>
                <w:tab w:val="left" w:pos="0" w:leader="none"/>
              </w:tabs>
              <w:ind w:hanging="0" w:start="0"/>
              <w:rPr>
                <w:b/>
                <w:bCs/>
                <w:sz w:val="20"/>
              </w:rPr>
            </w:pPr>
            <w:r>
              <w:rPr>
                <w:b/>
                <w:bCs/>
                <w:sz w:val="20"/>
              </w:rPr>
              <w:t>Economic Research Analyst</w:t>
            </w:r>
          </w:p>
          <w:p>
            <w:pPr>
              <w:pStyle w:val="Normal"/>
              <w:numPr>
                <w:ilvl w:val="0"/>
                <w:numId w:val="4"/>
              </w:numPr>
              <w:tabs>
                <w:tab w:val="clear" w:pos="720"/>
                <w:tab w:val="left" w:pos="360" w:leader="none"/>
              </w:tabs>
              <w:jc w:val="both"/>
              <w:rPr/>
            </w:pPr>
            <w:r>
              <w:rPr/>
              <w:t>Participated in the elaboration of economic research documents by constructing the required variables, using graphic and econometric techniques to analyze the interaction between variables and presenting the results.</w:t>
            </w:r>
          </w:p>
          <w:p>
            <w:pPr>
              <w:pStyle w:val="Normal"/>
              <w:numPr>
                <w:ilvl w:val="0"/>
                <w:numId w:val="4"/>
              </w:numPr>
              <w:tabs>
                <w:tab w:val="clear" w:pos="720"/>
                <w:tab w:val="left" w:pos="360" w:leader="none"/>
              </w:tabs>
              <w:jc w:val="both"/>
              <w:rPr>
                <w:u w:val="single"/>
              </w:rPr>
            </w:pPr>
            <w:r>
              <w:rPr/>
              <w:t>Analyzed the repercussions of worldwide economic events, such as the Russian and Ecuadorian Brady Bond defaults, the devaluation of the Brazilian real, the Nasdaq crash and hypothetical scenarios, on the Mexican economy for the preparation of policy briefings.</w:t>
            </w:r>
          </w:p>
          <w:p>
            <w:pPr>
              <w:pStyle w:val="Normal"/>
              <w:numPr>
                <w:ilvl w:val="0"/>
                <w:numId w:val="4"/>
              </w:numPr>
              <w:tabs>
                <w:tab w:val="clear" w:pos="720"/>
                <w:tab w:val="left" w:pos="360" w:leader="none"/>
              </w:tabs>
              <w:ind w:hanging="360" w:start="720" w:end="20"/>
              <w:jc w:val="both"/>
              <w:rPr>
                <w:u w:val="single"/>
              </w:rPr>
            </w:pPr>
            <w:r>
              <w:rPr/>
              <w:t>Prepared presentations for speeches and conferences, focused on the recent developments and outlook of the Mexican Economy with regard to monetary policy decisions, given by the Director General of Economic Research and members of the Board of Governors.</w:t>
            </w:r>
          </w:p>
          <w:p>
            <w:pPr>
              <w:pStyle w:val="Normal"/>
              <w:numPr>
                <w:ilvl w:val="0"/>
                <w:numId w:val="4"/>
              </w:numPr>
              <w:tabs>
                <w:tab w:val="clear" w:pos="720"/>
                <w:tab w:val="left" w:pos="360" w:leader="none"/>
              </w:tabs>
              <w:ind w:hanging="360" w:start="720" w:end="20"/>
              <w:jc w:val="both"/>
              <w:rPr>
                <w:u w:val="single"/>
              </w:rPr>
            </w:pPr>
            <w:r>
              <w:rPr>
                <w:spacing w:val="-2"/>
              </w:rPr>
              <w:t>Sponsored to take a course on risk management, specifically with regard to Banco de México’s assets. Coursework consisted of risk valuation of debt instruments, options and futures.</w:t>
            </w:r>
          </w:p>
        </w:tc>
      </w:tr>
    </w:tbl>
    <w:p>
      <w:pPr>
        <w:pStyle w:val="Normal"/>
        <w:tabs>
          <w:tab w:val="clear" w:pos="720"/>
          <w:tab w:val="left" w:pos="1843" w:leader="none"/>
        </w:tabs>
        <w:spacing w:lineRule="auto" w:line="192"/>
        <w:rPr>
          <w:u w:val="single"/>
        </w:rPr>
      </w:pPr>
      <w:r>
        <w:rPr>
          <w:u w:val="single"/>
        </w:rPr>
      </w:r>
    </w:p>
    <w:tbl>
      <w:tblPr>
        <w:tblW w:w="9970" w:type="dxa"/>
        <w:jc w:val="start"/>
        <w:tblInd w:w="0" w:type="dxa"/>
        <w:tblLayout w:type="fixed"/>
        <w:tblCellMar>
          <w:top w:w="0" w:type="dxa"/>
          <w:start w:w="70" w:type="dxa"/>
          <w:bottom w:w="0" w:type="dxa"/>
          <w:end w:w="70" w:type="dxa"/>
        </w:tblCellMar>
      </w:tblPr>
      <w:tblGrid>
        <w:gridCol w:w="1510"/>
        <w:gridCol w:w="6390"/>
        <w:gridCol w:w="2070"/>
      </w:tblGrid>
      <w:tr>
        <w:trPr/>
        <w:tc>
          <w:tcPr>
            <w:tcW w:w="1510" w:type="dxa"/>
            <w:tcBorders/>
          </w:tcPr>
          <w:p>
            <w:pPr>
              <w:pStyle w:val="Normal"/>
              <w:tabs>
                <w:tab w:val="clear" w:pos="720"/>
                <w:tab w:val="left" w:pos="1843" w:leader="none"/>
              </w:tabs>
              <w:rPr/>
            </w:pPr>
            <w:r>
              <w:rPr/>
              <w:t>Summer 1995</w:t>
            </w:r>
            <w:r>
              <w:rPr>
                <w:spacing w:val="-12"/>
              </w:rPr>
              <w:t>:</w:t>
            </w:r>
          </w:p>
        </w:tc>
        <w:tc>
          <w:tcPr>
            <w:tcW w:w="6390" w:type="dxa"/>
            <w:tcBorders/>
          </w:tcPr>
          <w:p>
            <w:pPr>
              <w:pStyle w:val="Normal"/>
              <w:tabs>
                <w:tab w:val="clear" w:pos="720"/>
                <w:tab w:val="left" w:pos="1843" w:leader="none"/>
              </w:tabs>
              <w:jc w:val="both"/>
              <w:rPr>
                <w:b/>
                <w:bCs/>
              </w:rPr>
            </w:pPr>
            <w:r>
              <w:rPr>
                <w:b/>
                <w:bCs/>
              </w:rPr>
              <w:t>International Trade Centre (UNCTAD/ WTO)</w:t>
            </w:r>
          </w:p>
        </w:tc>
        <w:tc>
          <w:tcPr>
            <w:tcW w:w="2070" w:type="dxa"/>
            <w:tcBorders/>
          </w:tcPr>
          <w:p>
            <w:pPr>
              <w:pStyle w:val="Normal"/>
              <w:tabs>
                <w:tab w:val="clear" w:pos="720"/>
                <w:tab w:val="left" w:pos="1843" w:leader="none"/>
              </w:tabs>
              <w:jc w:val="end"/>
              <w:rPr>
                <w:b/>
                <w:bCs/>
              </w:rPr>
            </w:pPr>
            <w:r>
              <w:rPr/>
              <w:t>Geneva, Switzerland</w:t>
            </w:r>
          </w:p>
        </w:tc>
      </w:tr>
      <w:tr>
        <w:trPr/>
        <w:tc>
          <w:tcPr>
            <w:tcW w:w="1510" w:type="dxa"/>
            <w:tcBorders/>
          </w:tcPr>
          <w:p>
            <w:pPr>
              <w:pStyle w:val="Normal"/>
              <w:tabs>
                <w:tab w:val="clear" w:pos="720"/>
                <w:tab w:val="left" w:pos="1843" w:leader="none"/>
              </w:tabs>
              <w:snapToGrid w:val="false"/>
              <w:rPr>
                <w:b/>
                <w:bCs/>
                <w:u w:val="single"/>
              </w:rPr>
            </w:pPr>
            <w:r>
              <w:rPr>
                <w:b/>
                <w:bCs/>
                <w:u w:val="single"/>
              </w:rPr>
            </w:r>
          </w:p>
          <w:p>
            <w:pPr>
              <w:pStyle w:val="Normal"/>
              <w:tabs>
                <w:tab w:val="clear" w:pos="720"/>
                <w:tab w:val="left" w:pos="1843" w:leader="none"/>
              </w:tabs>
              <w:rPr/>
            </w:pPr>
            <w:r>
              <w:rPr/>
            </w:r>
          </w:p>
          <w:p>
            <w:pPr>
              <w:pStyle w:val="Normal"/>
              <w:tabs>
                <w:tab w:val="clear" w:pos="720"/>
                <w:tab w:val="left" w:pos="1843" w:leader="none"/>
              </w:tabs>
              <w:rPr/>
            </w:pPr>
            <w:r>
              <w:rPr/>
            </w:r>
          </w:p>
          <w:p>
            <w:pPr>
              <w:pStyle w:val="Normal"/>
              <w:tabs>
                <w:tab w:val="clear" w:pos="720"/>
                <w:tab w:val="left" w:pos="1843" w:leader="none"/>
              </w:tabs>
              <w:rPr/>
            </w:pPr>
            <w:r>
              <w:rPr/>
            </w:r>
          </w:p>
        </w:tc>
        <w:tc>
          <w:tcPr>
            <w:tcW w:w="8460" w:type="dxa"/>
            <w:gridSpan w:val="2"/>
            <w:tcBorders/>
          </w:tcPr>
          <w:p>
            <w:pPr>
              <w:pStyle w:val="Heading1"/>
              <w:ind w:hanging="0" w:start="0"/>
              <w:rPr>
                <w:i w:val="false"/>
                <w:i w:val="false"/>
                <w:iCs w:val="false"/>
                <w:sz w:val="20"/>
              </w:rPr>
            </w:pPr>
            <w:r>
              <w:rPr>
                <w:i w:val="false"/>
                <w:iCs w:val="false"/>
                <w:sz w:val="20"/>
              </w:rPr>
              <w:t>UN organization for technical cooperation with developing countries in promotion of trade</w:t>
            </w:r>
          </w:p>
          <w:p>
            <w:pPr>
              <w:pStyle w:val="Heading1"/>
              <w:ind w:hanging="0" w:start="0"/>
              <w:rPr>
                <w:b/>
                <w:bCs/>
                <w:sz w:val="20"/>
              </w:rPr>
            </w:pPr>
            <w:r>
              <w:rPr>
                <w:b/>
                <w:bCs/>
                <w:sz w:val="20"/>
              </w:rPr>
              <w:t>Research Assistant</w:t>
            </w:r>
          </w:p>
          <w:p>
            <w:pPr>
              <w:pStyle w:val="Normal"/>
              <w:numPr>
                <w:ilvl w:val="0"/>
                <w:numId w:val="5"/>
              </w:numPr>
              <w:tabs>
                <w:tab w:val="clear" w:pos="720"/>
                <w:tab w:val="left" w:pos="360" w:leader="none"/>
                <w:tab w:val="left" w:pos="1843" w:leader="none"/>
              </w:tabs>
              <w:jc w:val="both"/>
              <w:rPr>
                <w:u w:val="single"/>
              </w:rPr>
            </w:pPr>
            <w:r>
              <w:rPr/>
              <w:t>Contributed to the formulation of a document geared toward assisting firms in developing countries by stimulating their exports. In particular, developed a net present value analysis for the optimization of capital equipment purchasing decisions.</w:t>
            </w:r>
          </w:p>
        </w:tc>
      </w:tr>
    </w:tbl>
    <w:p>
      <w:pPr>
        <w:pStyle w:val="Normal"/>
        <w:tabs>
          <w:tab w:val="clear" w:pos="720"/>
          <w:tab w:val="left" w:pos="1843" w:leader="none"/>
        </w:tabs>
        <w:spacing w:lineRule="auto" w:line="192"/>
        <w:rPr>
          <w:u w:val="single"/>
        </w:rPr>
      </w:pPr>
      <w:r>
        <w:rPr>
          <w:u w:val="single"/>
        </w:rPr>
      </w:r>
    </w:p>
    <w:tbl>
      <w:tblPr>
        <w:tblW w:w="9970" w:type="dxa"/>
        <w:jc w:val="start"/>
        <w:tblInd w:w="0" w:type="dxa"/>
        <w:tblLayout w:type="fixed"/>
        <w:tblCellMar>
          <w:top w:w="0" w:type="dxa"/>
          <w:start w:w="70" w:type="dxa"/>
          <w:bottom w:w="0" w:type="dxa"/>
          <w:end w:w="70" w:type="dxa"/>
        </w:tblCellMar>
      </w:tblPr>
      <w:tblGrid>
        <w:gridCol w:w="1510"/>
        <w:gridCol w:w="6390"/>
        <w:gridCol w:w="2070"/>
      </w:tblGrid>
      <w:tr>
        <w:trPr/>
        <w:tc>
          <w:tcPr>
            <w:tcW w:w="1510" w:type="dxa"/>
            <w:tcBorders/>
          </w:tcPr>
          <w:p>
            <w:pPr>
              <w:pStyle w:val="Normal"/>
              <w:tabs>
                <w:tab w:val="clear" w:pos="720"/>
                <w:tab w:val="left" w:pos="1843" w:leader="none"/>
              </w:tabs>
              <w:snapToGrid w:val="false"/>
              <w:rPr/>
            </w:pPr>
            <w:r>
              <w:rPr/>
            </w:r>
          </w:p>
        </w:tc>
        <w:tc>
          <w:tcPr>
            <w:tcW w:w="6390" w:type="dxa"/>
            <w:tcBorders/>
          </w:tcPr>
          <w:p>
            <w:pPr>
              <w:pStyle w:val="Normal"/>
              <w:tabs>
                <w:tab w:val="clear" w:pos="720"/>
                <w:tab w:val="left" w:pos="1843" w:leader="none"/>
              </w:tabs>
              <w:jc w:val="both"/>
              <w:rPr>
                <w:b/>
                <w:bCs/>
              </w:rPr>
            </w:pPr>
            <w:r>
              <w:rPr>
                <w:b/>
                <w:bCs/>
                <w:spacing w:val="-2"/>
              </w:rPr>
              <w:t>European Bank for Reconstruction and Development</w:t>
            </w:r>
          </w:p>
        </w:tc>
        <w:tc>
          <w:tcPr>
            <w:tcW w:w="2070" w:type="dxa"/>
            <w:tcBorders/>
          </w:tcPr>
          <w:p>
            <w:pPr>
              <w:pStyle w:val="Normal"/>
              <w:tabs>
                <w:tab w:val="clear" w:pos="720"/>
                <w:tab w:val="left" w:pos="1843" w:leader="none"/>
              </w:tabs>
              <w:jc w:val="end"/>
              <w:rPr>
                <w:b/>
                <w:bCs/>
              </w:rPr>
            </w:pPr>
            <w:r>
              <w:rPr/>
              <w:t>London, England</w:t>
            </w:r>
          </w:p>
        </w:tc>
      </w:tr>
      <w:tr>
        <w:trPr/>
        <w:tc>
          <w:tcPr>
            <w:tcW w:w="1510" w:type="dxa"/>
            <w:tcBorders/>
          </w:tcPr>
          <w:p>
            <w:pPr>
              <w:pStyle w:val="Normal"/>
              <w:tabs>
                <w:tab w:val="clear" w:pos="720"/>
                <w:tab w:val="left" w:pos="1843" w:leader="none"/>
              </w:tabs>
              <w:snapToGrid w:val="false"/>
              <w:rPr>
                <w:b/>
                <w:bCs/>
                <w:u w:val="single"/>
              </w:rPr>
            </w:pPr>
            <w:r>
              <w:rPr>
                <w:b/>
                <w:bCs/>
                <w:u w:val="single"/>
              </w:rPr>
            </w:r>
          </w:p>
          <w:p>
            <w:pPr>
              <w:pStyle w:val="Normal"/>
              <w:tabs>
                <w:tab w:val="clear" w:pos="720"/>
                <w:tab w:val="left" w:pos="1843" w:leader="none"/>
              </w:tabs>
              <w:rPr/>
            </w:pPr>
            <w:r>
              <w:rPr/>
            </w:r>
          </w:p>
          <w:p>
            <w:pPr>
              <w:pStyle w:val="Normal"/>
              <w:tabs>
                <w:tab w:val="clear" w:pos="720"/>
                <w:tab w:val="left" w:pos="1843" w:leader="none"/>
              </w:tabs>
              <w:rPr/>
            </w:pPr>
            <w:r>
              <w:rPr/>
            </w:r>
          </w:p>
          <w:p>
            <w:pPr>
              <w:pStyle w:val="Normal"/>
              <w:tabs>
                <w:tab w:val="clear" w:pos="720"/>
                <w:tab w:val="left" w:pos="1843" w:leader="none"/>
              </w:tabs>
              <w:rPr>
                <w:i/>
                <w:i/>
                <w:iCs/>
                <w:u w:val="single"/>
              </w:rPr>
            </w:pPr>
            <w:r>
              <w:rPr>
                <w:i/>
                <w:iCs/>
                <w:u w:val="single"/>
              </w:rPr>
            </w:r>
          </w:p>
        </w:tc>
        <w:tc>
          <w:tcPr>
            <w:tcW w:w="8460" w:type="dxa"/>
            <w:gridSpan w:val="2"/>
            <w:tcBorders/>
          </w:tcPr>
          <w:p>
            <w:pPr>
              <w:pStyle w:val="Heading1"/>
              <w:ind w:hanging="0" w:start="0"/>
              <w:rPr>
                <w:i w:val="false"/>
                <w:i w:val="false"/>
                <w:iCs w:val="false"/>
                <w:sz w:val="20"/>
              </w:rPr>
            </w:pPr>
            <w:r>
              <w:rPr>
                <w:i w:val="false"/>
                <w:iCs w:val="false"/>
                <w:sz w:val="20"/>
              </w:rPr>
              <w:t>Development bank for Central and Eastern Europe</w:t>
            </w:r>
          </w:p>
          <w:p>
            <w:pPr>
              <w:pStyle w:val="Heading1"/>
              <w:ind w:hanging="0" w:start="0"/>
              <w:rPr>
                <w:b/>
                <w:bCs/>
                <w:sz w:val="20"/>
              </w:rPr>
            </w:pPr>
            <w:r>
              <w:rPr>
                <w:b/>
                <w:bCs/>
                <w:sz w:val="20"/>
              </w:rPr>
              <w:t>Research Assistant</w:t>
            </w:r>
          </w:p>
          <w:p>
            <w:pPr>
              <w:pStyle w:val="Normal"/>
              <w:numPr>
                <w:ilvl w:val="0"/>
                <w:numId w:val="3"/>
              </w:numPr>
              <w:tabs>
                <w:tab w:val="clear" w:pos="720"/>
                <w:tab w:val="left" w:pos="360" w:leader="none"/>
                <w:tab w:val="left" w:pos="1843" w:leader="none"/>
              </w:tabs>
              <w:jc w:val="both"/>
              <w:rPr>
                <w:u w:val="single"/>
              </w:rPr>
            </w:pPr>
            <w:r>
              <w:rPr/>
              <w:t>Assisted in the elaboration of the 1995 EBRD's annual "Transition Report" by conducting a study on the evolution of pension fund systems in East European countries after their adoption of the market system.</w:t>
            </w:r>
          </w:p>
        </w:tc>
      </w:tr>
    </w:tbl>
    <w:p>
      <w:pPr>
        <w:pStyle w:val="Normal"/>
        <w:spacing w:lineRule="auto" w:line="192"/>
        <w:rPr>
          <w:b/>
        </w:rPr>
      </w:pPr>
      <w:r>
        <w:rPr>
          <w:b/>
        </w:rPr>
      </w:r>
    </w:p>
    <w:tbl>
      <w:tblPr>
        <w:tblW w:w="9970" w:type="dxa"/>
        <w:jc w:val="start"/>
        <w:tblInd w:w="0" w:type="dxa"/>
        <w:tblLayout w:type="fixed"/>
        <w:tblCellMar>
          <w:top w:w="0" w:type="dxa"/>
          <w:start w:w="70" w:type="dxa"/>
          <w:bottom w:w="0" w:type="dxa"/>
          <w:end w:w="70" w:type="dxa"/>
        </w:tblCellMar>
      </w:tblPr>
      <w:tblGrid>
        <w:gridCol w:w="1510"/>
        <w:gridCol w:w="6390"/>
        <w:gridCol w:w="2070"/>
      </w:tblGrid>
      <w:tr>
        <w:trPr/>
        <w:tc>
          <w:tcPr>
            <w:tcW w:w="1510" w:type="dxa"/>
            <w:tcBorders/>
          </w:tcPr>
          <w:p>
            <w:pPr>
              <w:pStyle w:val="Normal"/>
              <w:tabs>
                <w:tab w:val="clear" w:pos="720"/>
                <w:tab w:val="left" w:pos="1843" w:leader="none"/>
              </w:tabs>
              <w:rPr>
                <w:lang w:val="es-MX"/>
              </w:rPr>
            </w:pPr>
            <w:r>
              <w:rPr>
                <w:lang w:val="es-MX"/>
              </w:rPr>
              <w:t>1992 - 1993</w:t>
            </w:r>
          </w:p>
        </w:tc>
        <w:tc>
          <w:tcPr>
            <w:tcW w:w="6390" w:type="dxa"/>
            <w:tcBorders/>
          </w:tcPr>
          <w:p>
            <w:pPr>
              <w:pStyle w:val="Normal"/>
              <w:tabs>
                <w:tab w:val="clear" w:pos="720"/>
                <w:tab w:val="left" w:pos="1843" w:leader="none"/>
              </w:tabs>
              <w:jc w:val="both"/>
              <w:rPr>
                <w:b/>
                <w:bCs/>
                <w:lang w:val="es-MX"/>
              </w:rPr>
            </w:pPr>
            <w:r>
              <w:rPr>
                <w:b/>
                <w:bCs/>
                <w:lang w:val="es-MX"/>
              </w:rPr>
              <w:t>Proveedora Inbursa, S.A. de C.V.</w:t>
            </w:r>
          </w:p>
        </w:tc>
        <w:tc>
          <w:tcPr>
            <w:tcW w:w="2070" w:type="dxa"/>
            <w:tcBorders/>
          </w:tcPr>
          <w:p>
            <w:pPr>
              <w:pStyle w:val="Normal"/>
              <w:tabs>
                <w:tab w:val="clear" w:pos="720"/>
                <w:tab w:val="left" w:pos="1843" w:leader="none"/>
              </w:tabs>
              <w:jc w:val="end"/>
              <w:rPr>
                <w:b/>
                <w:bCs/>
                <w:lang w:val="es-MX"/>
              </w:rPr>
            </w:pPr>
            <w:r>
              <w:rPr>
                <w:lang w:val="es-MX"/>
              </w:rPr>
              <w:t>Mexico City, Mexico</w:t>
            </w:r>
          </w:p>
        </w:tc>
      </w:tr>
      <w:tr>
        <w:trPr>
          <w:trHeight w:val="783" w:hRule="atLeast"/>
        </w:trPr>
        <w:tc>
          <w:tcPr>
            <w:tcW w:w="1510" w:type="dxa"/>
            <w:tcBorders/>
          </w:tcPr>
          <w:p>
            <w:pPr>
              <w:pStyle w:val="Normal"/>
              <w:tabs>
                <w:tab w:val="clear" w:pos="720"/>
                <w:tab w:val="left" w:pos="1843" w:leader="none"/>
              </w:tabs>
              <w:snapToGrid w:val="false"/>
              <w:rPr>
                <w:b/>
                <w:bCs/>
                <w:u w:val="single"/>
                <w:lang w:val="es-MX"/>
              </w:rPr>
            </w:pPr>
            <w:r>
              <w:rPr>
                <w:b/>
                <w:bCs/>
                <w:u w:val="single"/>
                <w:lang w:val="es-MX"/>
              </w:rPr>
            </w:r>
          </w:p>
          <w:p>
            <w:pPr>
              <w:pStyle w:val="Normal"/>
              <w:tabs>
                <w:tab w:val="clear" w:pos="720"/>
                <w:tab w:val="left" w:pos="1843" w:leader="none"/>
              </w:tabs>
              <w:rPr>
                <w:lang w:val="es-MX"/>
              </w:rPr>
            </w:pPr>
            <w:r>
              <w:rPr>
                <w:lang w:val="es-MX"/>
              </w:rPr>
            </w:r>
          </w:p>
          <w:p>
            <w:pPr>
              <w:pStyle w:val="Normal"/>
              <w:tabs>
                <w:tab w:val="clear" w:pos="720"/>
                <w:tab w:val="left" w:pos="1843" w:leader="none"/>
              </w:tabs>
              <w:rPr>
                <w:i/>
                <w:i/>
                <w:iCs/>
                <w:u w:val="single"/>
                <w:lang w:val="es-MX"/>
              </w:rPr>
            </w:pPr>
            <w:r>
              <w:rPr>
                <w:i/>
                <w:iCs/>
                <w:u w:val="single"/>
                <w:lang w:val="es-MX"/>
              </w:rPr>
            </w:r>
          </w:p>
        </w:tc>
        <w:tc>
          <w:tcPr>
            <w:tcW w:w="8460" w:type="dxa"/>
            <w:gridSpan w:val="2"/>
            <w:tcBorders/>
          </w:tcPr>
          <w:p>
            <w:pPr>
              <w:pStyle w:val="Normal"/>
              <w:tabs>
                <w:tab w:val="clear" w:pos="720"/>
                <w:tab w:val="left" w:pos="1843" w:leader="none"/>
              </w:tabs>
              <w:jc w:val="both"/>
              <w:rPr/>
            </w:pPr>
            <w:r>
              <w:rPr/>
              <w:t>Firm that centrally purchases supplies for all Carso Group companies</w:t>
            </w:r>
          </w:p>
          <w:p>
            <w:pPr>
              <w:pStyle w:val="Heading3"/>
              <w:ind w:hanging="0" w:start="0"/>
              <w:rPr>
                <w:sz w:val="20"/>
              </w:rPr>
            </w:pPr>
            <w:r>
              <w:rPr>
                <w:sz w:val="20"/>
              </w:rPr>
              <w:t>Purchasing Assistant</w:t>
            </w:r>
          </w:p>
          <w:p>
            <w:pPr>
              <w:pStyle w:val="Normal"/>
              <w:numPr>
                <w:ilvl w:val="0"/>
                <w:numId w:val="3"/>
              </w:numPr>
              <w:tabs>
                <w:tab w:val="clear" w:pos="720"/>
                <w:tab w:val="left" w:pos="360" w:leader="none"/>
                <w:tab w:val="left" w:pos="1843" w:leader="none"/>
              </w:tabs>
              <w:jc w:val="both"/>
              <w:rPr>
                <w:spacing w:val="-4"/>
                <w:u w:val="single"/>
              </w:rPr>
            </w:pPr>
            <w:r>
              <w:rPr/>
              <w:t>Maintained the database of new cars purchased for Carso and Inbursa group companies.</w:t>
            </w:r>
          </w:p>
          <w:p>
            <w:pPr>
              <w:pStyle w:val="Normal"/>
              <w:numPr>
                <w:ilvl w:val="0"/>
                <w:numId w:val="3"/>
              </w:numPr>
              <w:tabs>
                <w:tab w:val="clear" w:pos="720"/>
                <w:tab w:val="left" w:pos="360" w:leader="none"/>
                <w:tab w:val="left" w:pos="1843" w:leader="none"/>
              </w:tabs>
              <w:jc w:val="both"/>
              <w:rPr>
                <w:u w:val="single"/>
              </w:rPr>
            </w:pPr>
            <w:r>
              <w:rPr/>
              <w:t>Assisted in the purchase of automobiles, quoting price and delivery conditions.</w:t>
            </w:r>
          </w:p>
        </w:tc>
      </w:tr>
    </w:tbl>
    <w:p>
      <w:pPr>
        <w:pStyle w:val="Normal"/>
        <w:spacing w:lineRule="auto" w:line="192"/>
        <w:rPr>
          <w:b/>
        </w:rPr>
      </w:pPr>
      <w:r>
        <w:rPr>
          <w:b/>
        </w:rPr>
      </w:r>
    </w:p>
    <w:p>
      <w:pPr>
        <w:pStyle w:val="Heading2"/>
        <w:ind w:hanging="0" w:start="0"/>
        <w:rPr>
          <w:b w:val="false"/>
          <w:bCs/>
          <w:sz w:val="20"/>
          <w:u w:val="single"/>
        </w:rPr>
      </w:pPr>
      <w:r>
        <w:rPr>
          <w:b w:val="false"/>
          <w:bCs/>
          <w:sz w:val="20"/>
          <w:u w:val="single"/>
        </w:rPr>
        <w:t>Additional</w:t>
      </w:r>
    </w:p>
    <w:p>
      <w:pPr>
        <w:pStyle w:val="Normal"/>
        <w:spacing w:lineRule="auto" w:line="144"/>
        <w:rPr>
          <w:b/>
          <w:bCs/>
          <w:sz w:val="20"/>
          <w:u w:val="single"/>
        </w:rPr>
      </w:pPr>
      <w:r>
        <w:rPr>
          <w:b/>
          <w:bCs/>
          <w:sz w:val="20"/>
          <w:u w:val="single"/>
        </w:rPr>
      </w:r>
    </w:p>
    <w:tbl>
      <w:tblPr>
        <w:tblW w:w="9970" w:type="dxa"/>
        <w:jc w:val="start"/>
        <w:tblInd w:w="0" w:type="dxa"/>
        <w:tblLayout w:type="fixed"/>
        <w:tblCellMar>
          <w:top w:w="0" w:type="dxa"/>
          <w:start w:w="70" w:type="dxa"/>
          <w:bottom w:w="0" w:type="dxa"/>
          <w:end w:w="70" w:type="dxa"/>
        </w:tblCellMar>
      </w:tblPr>
      <w:tblGrid>
        <w:gridCol w:w="1510"/>
        <w:gridCol w:w="8460"/>
      </w:tblGrid>
      <w:tr>
        <w:trPr/>
        <w:tc>
          <w:tcPr>
            <w:tcW w:w="1510" w:type="dxa"/>
            <w:tcBorders/>
          </w:tcPr>
          <w:p>
            <w:pPr>
              <w:pStyle w:val="Normal"/>
              <w:tabs>
                <w:tab w:val="clear" w:pos="720"/>
                <w:tab w:val="left" w:pos="1843" w:leader="none"/>
              </w:tabs>
              <w:snapToGrid w:val="false"/>
              <w:rPr/>
            </w:pPr>
            <w:r>
              <w:rPr/>
            </w:r>
          </w:p>
          <w:p>
            <w:pPr>
              <w:pStyle w:val="Normal"/>
              <w:tabs>
                <w:tab w:val="clear" w:pos="720"/>
                <w:tab w:val="left" w:pos="1843" w:leader="none"/>
              </w:tabs>
              <w:rPr>
                <w:i/>
                <w:i/>
                <w:iCs/>
                <w:u w:val="single"/>
              </w:rPr>
            </w:pPr>
            <w:r>
              <w:rPr>
                <w:i/>
                <w:iCs/>
                <w:u w:val="single"/>
              </w:rPr>
            </w:r>
          </w:p>
        </w:tc>
        <w:tc>
          <w:tcPr>
            <w:tcW w:w="8460" w:type="dxa"/>
            <w:tcBorders/>
          </w:tcPr>
          <w:p>
            <w:pPr>
              <w:pStyle w:val="Normal"/>
              <w:numPr>
                <w:ilvl w:val="0"/>
                <w:numId w:val="3"/>
              </w:numPr>
              <w:tabs>
                <w:tab w:val="clear" w:pos="720"/>
                <w:tab w:val="left" w:pos="290" w:leader="none"/>
                <w:tab w:val="left" w:pos="360" w:leader="none"/>
                <w:tab w:val="left" w:pos="1820" w:leader="none"/>
              </w:tabs>
              <w:jc w:val="both"/>
              <w:rPr/>
            </w:pPr>
            <w:r>
              <w:rPr/>
              <w:t>Native speaker of English and Spanish, proficient in French</w:t>
            </w:r>
          </w:p>
          <w:p>
            <w:pPr>
              <w:pStyle w:val="Normal"/>
              <w:numPr>
                <w:ilvl w:val="0"/>
                <w:numId w:val="3"/>
              </w:numPr>
              <w:tabs>
                <w:tab w:val="clear" w:pos="720"/>
                <w:tab w:val="left" w:pos="360" w:leader="none"/>
                <w:tab w:val="left" w:pos="1276" w:leader="none"/>
              </w:tabs>
              <w:jc w:val="both"/>
              <w:rPr>
                <w:spacing w:val="-4"/>
              </w:rPr>
            </w:pPr>
            <w:r>
              <w:rPr>
                <w:spacing w:val="-4"/>
              </w:rPr>
              <w:t>Coauthor of a central bank working paper (Sánchez, O., J. Seade and A. Werner, "The Costs Associated with the Disinflationary Process", Research Paper #9903, Banco de México, May 1999)</w:t>
            </w:r>
          </w:p>
          <w:p>
            <w:pPr>
              <w:pStyle w:val="Normal"/>
              <w:numPr>
                <w:ilvl w:val="0"/>
                <w:numId w:val="3"/>
              </w:numPr>
              <w:tabs>
                <w:tab w:val="clear" w:pos="720"/>
                <w:tab w:val="left" w:pos="360" w:leader="none"/>
                <w:tab w:val="left" w:pos="1276" w:leader="none"/>
              </w:tabs>
              <w:jc w:val="both"/>
              <w:rPr/>
            </w:pPr>
            <w:r>
              <w:rPr/>
              <w:t>Traveled extensively; lived in England, France, Switzerland, USA and Mexico</w:t>
            </w:r>
          </w:p>
          <w:p>
            <w:pPr>
              <w:pStyle w:val="Normal"/>
              <w:numPr>
                <w:ilvl w:val="0"/>
                <w:numId w:val="3"/>
              </w:numPr>
              <w:tabs>
                <w:tab w:val="clear" w:pos="720"/>
                <w:tab w:val="left" w:pos="360" w:leader="none"/>
                <w:tab w:val="left" w:pos="1276" w:leader="none"/>
              </w:tabs>
              <w:jc w:val="both"/>
              <w:rPr/>
            </w:pPr>
            <w:r>
              <w:rPr>
                <w:spacing w:val="-4"/>
              </w:rPr>
              <w:t>Volunteer for “Start Up”, an organization providing strategic advice to lower-income entrepreneurs</w:t>
            </w:r>
          </w:p>
          <w:p>
            <w:pPr>
              <w:pStyle w:val="Normal"/>
              <w:numPr>
                <w:ilvl w:val="0"/>
                <w:numId w:val="3"/>
              </w:numPr>
              <w:tabs>
                <w:tab w:val="clear" w:pos="720"/>
                <w:tab w:val="left" w:pos="360" w:leader="none"/>
                <w:tab w:val="left" w:pos="1276" w:leader="none"/>
              </w:tabs>
              <w:jc w:val="both"/>
              <w:rPr/>
            </w:pPr>
            <w:r>
              <w:rPr/>
              <w:t>Practiced judo for several years, competed while in college</w:t>
            </w:r>
          </w:p>
          <w:p>
            <w:pPr>
              <w:pStyle w:val="Normal"/>
              <w:numPr>
                <w:ilvl w:val="0"/>
                <w:numId w:val="3"/>
              </w:numPr>
              <w:tabs>
                <w:tab w:val="clear" w:pos="720"/>
                <w:tab w:val="left" w:pos="360" w:leader="none"/>
                <w:tab w:val="left" w:pos="1843" w:leader="none"/>
              </w:tabs>
              <w:jc w:val="both"/>
              <w:rPr>
                <w:spacing w:val="-4"/>
                <w:u w:val="single"/>
              </w:rPr>
            </w:pPr>
            <w:r>
              <w:rPr/>
              <w:t>Other interests include squash, racquetball, chess, snowboarding and water skiing</w:t>
            </w:r>
          </w:p>
        </w:tc>
      </w:tr>
    </w:tbl>
    <w:p>
      <w:pPr>
        <w:pStyle w:val="Normal"/>
        <w:rPr/>
      </w:pPr>
      <w:r>
        <w:rPr/>
      </w:r>
    </w:p>
    <w:sectPr>
      <w:type w:val="nextPage"/>
      <w:pgSz w:w="12240" w:h="15840"/>
      <w:pgMar w:left="1152" w:right="1152" w:gutter="0" w:header="0" w:top="720"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843" w:leader="none"/>
      </w:tabs>
      <w:jc w:val="both"/>
      <w:outlineLvl w:val="0"/>
    </w:pPr>
    <w:rPr>
      <w:i/>
      <w:iCs/>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tabs>
        <w:tab w:val="clear" w:pos="720"/>
        <w:tab w:val="left" w:pos="1843" w:leader="none"/>
      </w:tabs>
      <w:jc w:val="both"/>
      <w:outlineLvl w:val="2"/>
    </w:pPr>
    <w:rPr>
      <w:b/>
      <w:bCs/>
      <w:i/>
      <w:i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outlineLvl w:val="0"/>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2001-02-16T15:43:00Z</dcterms:created>
  <dc:creator>Juan Seade</dc:creator>
  <dc:description/>
  <dc:language>en-CA</dc:language>
  <cp:lastModifiedBy>Juan Seade</cp:lastModifiedBy>
  <dcterms:modified xsi:type="dcterms:W3CDTF">2001-03-06T16:06:00Z</dcterms:modified>
  <cp:revision>9</cp:revision>
  <dc:subject/>
  <dc:title>JUAN SEADE</dc:title>
</cp:coreProperties>
</file>