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229" w:leader="none"/>
        </w:tabs>
        <w:suppressAutoHyphens w:val="true"/>
        <w:jc w:val="both"/>
        <w:rPr>
          <w:rFonts w:ascii="Times" w:hAnsi="Times" w:cs="Times"/>
          <w:spacing w:val="-2"/>
          <w:sz w:val="28"/>
        </w:rPr>
      </w:pPr>
      <w:r>
        <w:rPr>
          <w:rFonts w:cs="Times" w:ascii="Times" w:hAnsi="Times"/>
          <w:spacing w:val="-2"/>
          <w:sz w:val="28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8500" w:leader="none"/>
          <w:tab w:val="left" w:pos="864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>Current Address:</w:t>
        <w:tab/>
        <w:tab/>
        <w:tab/>
        <w:tab/>
        <w:tab/>
        <w:tab/>
        <w:tab/>
        <w:tab/>
        <w:tab/>
        <w:tab/>
        <w:t>Permanent Address: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8500" w:leader="none"/>
          <w:tab w:val="left" w:pos="864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>942 Yonge St #</w:t>
        <w:tab/>
        <w:tab/>
        <w:tab/>
        <w:tab/>
        <w:tab/>
        <w:tab/>
        <w:tab/>
        <w:tab/>
        <w:tab/>
        <w:tab/>
        <w:t>14024 Highmark Sq.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8500" w:leader="none"/>
          <w:tab w:val="left" w:pos="864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>Toronto,</w:t>
        <w:tab/>
        <w:t>Ont M4W3S8</w:t>
        <w:tab/>
        <w:tab/>
        <w:tab/>
        <w:tab/>
        <w:tab/>
        <w:tab/>
        <w:tab/>
        <w:tab/>
        <w:tab/>
        <w:t>Dallas, TX 75240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8500" w:leader="none"/>
          <w:tab w:val="left" w:pos="864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>(416) 960-1170</w:t>
        <w:tab/>
        <w:tab/>
        <w:tab/>
        <w:tab/>
        <w:tab/>
        <w:tab/>
        <w:tab/>
        <w:tab/>
        <w:tab/>
        <w:tab/>
        <w:t>(972) 458-1929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8500" w:leader="none"/>
          <w:tab w:val="left" w:pos="8640" w:leader="none"/>
        </w:tabs>
        <w:suppressAutoHyphens w:val="true"/>
        <w:ind w:end="-162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>gtripp@enron.com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8500" w:leader="none"/>
          <w:tab w:val="left" w:pos="8640" w:leader="none"/>
        </w:tabs>
        <w:suppressAutoHyphens w:val="true"/>
        <w:spacing w:lineRule="auto" w:line="12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8500" w:leader="none"/>
          <w:tab w:val="left" w:pos="8640" w:leader="none"/>
        </w:tabs>
        <w:suppressAutoHyphens w:val="true"/>
        <w:spacing w:lineRule="exact" w:line="36"/>
        <w:jc w:val="both"/>
        <w:rPr>
          <w:rFonts w:ascii="New Century Schoolbook" w:hAnsi="New Century Schoolbook" w:cs="New Century Schoolbook"/>
          <w:spacing w:val="-2"/>
          <w:lang w:val="en-CA" w:eastAsia="en-CA"/>
        </w:rPr>
      </w:pPr>
      <w:r>
        <w:rPr>
          <w:rFonts w:cs="New Century Schoolbook" w:ascii="New Century Schoolbook" w:hAnsi="New Century Schoolbook"/>
          <w:spacing w:val="-2"/>
          <w:lang w:val="en-CA" w:eastAsia="en-CA"/>
        </w:rPr>
        <mc:AlternateContent>
          <mc:Choice Requires="wps">
            <w:drawing>
              <wp:anchor behindDoc="1" distT="0" distB="0" distL="114935" distR="114300" simplePos="0" locked="0" layoutInCell="0" allowOverlap="1" relativeHeight="2">
                <wp:simplePos x="0" y="0"/>
                <wp:positionH relativeFrom="margin">
                  <wp:posOffset>-565785</wp:posOffset>
                </wp:positionH>
                <wp:positionV relativeFrom="paragraph">
                  <wp:posOffset>635</wp:posOffset>
                </wp:positionV>
                <wp:extent cx="6637655" cy="22860"/>
                <wp:effectExtent l="635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80" cy="2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-44.55pt;margin-top:0pt;width:522.6pt;height:1.75pt;mso-wrap-style:none;v-text-anchor:middle;mso-position-horizontal-relative:margin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662" w:leader="none"/>
          <w:tab w:val="left" w:pos="1755" w:leader="none"/>
          <w:tab w:val="left" w:pos="216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clear" w:pos="720"/>
          <w:tab w:val="left" w:pos="1571" w:leader="none"/>
          <w:tab w:val="right" w:pos="10457" w:leader="none"/>
        </w:tabs>
        <w:suppressAutoHyphens w:val="true"/>
        <w:jc w:val="both"/>
        <w:rPr/>
      </w:pPr>
      <w:r>
        <w:rPr>
          <w:rFonts w:cs="Times" w:ascii="Times" w:hAnsi="Times"/>
          <w:b/>
          <w:spacing w:val="-2"/>
        </w:rPr>
        <w:t>EXPERIENCE</w:t>
        <w:tab/>
        <w:t>Enron Canada Corp. (ECC)</w:t>
      </w:r>
      <w:r>
        <w:rPr>
          <w:rFonts w:cs="Times" w:ascii="Times" w:hAnsi="Times"/>
          <w:spacing w:val="-2"/>
        </w:rPr>
        <w:tab/>
      </w:r>
    </w:p>
    <w:p>
      <w:pPr>
        <w:pStyle w:val="Normal"/>
        <w:tabs>
          <w:tab w:val="clear" w:pos="720"/>
          <w:tab w:val="left" w:pos="1570" w:leader="none"/>
        </w:tabs>
        <w:suppressAutoHyphens w:val="true"/>
        <w:jc w:val="both"/>
        <w:rPr/>
      </w:pPr>
      <w:r>
        <w:rPr>
          <w:rFonts w:cs="Times" w:ascii="Times" w:hAnsi="Times"/>
          <w:spacing w:val="-2"/>
        </w:rPr>
        <w:t>7/00-Present</w:t>
      </w:r>
      <w:r>
        <w:rPr>
          <w:rFonts w:cs="Times" w:ascii="Times" w:hAnsi="Times"/>
          <w:i/>
          <w:spacing w:val="-2"/>
        </w:rPr>
        <w:tab/>
        <w:t>Ontario Power Trading Desk Manager</w:t>
        <w:tab/>
        <w:tab/>
        <w:tab/>
        <w:tab/>
        <w:tab/>
        <w:tab/>
        <w:tab/>
      </w:r>
      <w:r>
        <w:rPr>
          <w:rFonts w:cs="Times" w:ascii="Times" w:hAnsi="Times"/>
          <w:iCs/>
          <w:spacing w:val="-2"/>
        </w:rPr>
        <w:t>Toronto, Ont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hanging="1891" w:start="1891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Established and currently manage Ontario power trading desk.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 xml:space="preserve">Created Ontario wholesale power forward curve and perform all forward pricing. </w:t>
        <w:tab/>
        <w:tab/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jc w:val="both"/>
        <w:rPr>
          <w:rFonts w:ascii="Times" w:hAnsi="Times" w:cs="Times"/>
          <w:spacing w:val="-2"/>
          <w:sz w:val="16"/>
          <w:szCs w:val="16"/>
        </w:rPr>
      </w:pPr>
      <w:r>
        <w:rPr>
          <w:rFonts w:cs="Times" w:ascii="Times" w:hAnsi="Times"/>
          <w:spacing w:val="-2"/>
        </w:rPr>
        <w:t>Trade in New York &amp; PJM markets (cash basis) while waiting to be the market maker for Ontario.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start="1570" w:end="0"/>
        <w:jc w:val="both"/>
        <w:rPr>
          <w:rFonts w:ascii="Times" w:hAnsi="Times" w:cs="Times"/>
          <w:spacing w:val="-2"/>
          <w:sz w:val="16"/>
          <w:szCs w:val="16"/>
        </w:rPr>
      </w:pPr>
      <w:r>
        <w:rPr>
          <w:rFonts w:cs="Times" w:ascii="Times" w:hAnsi="Times"/>
          <w:spacing w:val="-2"/>
        </w:rPr>
        <w:t>•</w:t>
      </w:r>
      <w:r>
        <w:rPr>
          <w:rFonts w:cs="Times" w:ascii="Times" w:hAnsi="Times"/>
          <w:spacing w:val="-2"/>
        </w:rPr>
        <w:tab/>
        <w:t>Model and analyze Ontario market: capacity &amp; energy, load, transmission, and IMO market rules.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662" w:leader="none"/>
          <w:tab w:val="left" w:pos="1755" w:leader="none"/>
          <w:tab w:val="left" w:pos="2160" w:leader="none"/>
        </w:tabs>
        <w:suppressAutoHyphens w:val="true"/>
        <w:ind w:hanging="1570" w:start="1570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ab/>
        <w:t xml:space="preserve">   Represent Enron in IMO market opening &amp; regulatory efforts to government, IMO and industry players.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662" w:leader="none"/>
          <w:tab w:val="left" w:pos="1755" w:leader="none"/>
          <w:tab w:val="left" w:pos="2160" w:leader="none"/>
        </w:tabs>
        <w:suppressAutoHyphens w:val="true"/>
        <w:ind w:hanging="1570" w:start="1570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ab/>
        <w:t xml:space="preserve">   Enron’s market expert on Ontario. 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662" w:leader="none"/>
          <w:tab w:val="left" w:pos="1755" w:leader="none"/>
          <w:tab w:val="left" w:pos="216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clear" w:pos="720"/>
          <w:tab w:val="left" w:pos="157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</w:r>
      <w:r>
        <w:rPr>
          <w:rFonts w:cs="Times" w:ascii="Times" w:hAnsi="Times"/>
          <w:b/>
          <w:spacing w:val="-2"/>
        </w:rPr>
        <w:t>Enron North America (ENA)</w:t>
        <w:tab/>
        <w:tab/>
        <w:tab/>
        <w:tab/>
        <w:tab/>
        <w:tab/>
        <w:tab/>
        <w:tab/>
      </w:r>
      <w:r>
        <w:rPr>
          <w:rFonts w:cs="Times" w:ascii="Times" w:hAnsi="Times"/>
          <w:iCs/>
          <w:spacing w:val="-2"/>
        </w:rPr>
        <w:t>Houston, TX</w:t>
      </w:r>
    </w:p>
    <w:p>
      <w:pPr>
        <w:pStyle w:val="Normal"/>
        <w:tabs>
          <w:tab w:val="clear" w:pos="720"/>
          <w:tab w:val="left" w:pos="1570" w:leader="none"/>
        </w:tabs>
        <w:suppressAutoHyphens w:val="true"/>
        <w:jc w:val="both"/>
        <w:rPr>
          <w:rFonts w:ascii="Times" w:hAnsi="Times" w:cs="Times"/>
          <w:iCs/>
          <w:spacing w:val="-2"/>
        </w:rPr>
      </w:pPr>
      <w:r>
        <w:rPr>
          <w:rFonts w:cs="Times" w:ascii="Times" w:hAnsi="Times"/>
          <w:spacing w:val="-2"/>
        </w:rPr>
        <w:t>2/00-6/00</w:t>
      </w:r>
      <w:r>
        <w:rPr>
          <w:rFonts w:cs="Times" w:ascii="Times" w:hAnsi="Times"/>
          <w:i/>
          <w:spacing w:val="-2"/>
        </w:rPr>
        <w:tab/>
        <w:t>Enron Commodity Structuring Associate</w:t>
        <w:tab/>
        <w:tab/>
        <w:tab/>
        <w:tab/>
        <w:tab/>
        <w:tab/>
        <w:tab/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hanging="1891" w:start="1891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 xml:space="preserve">Modeled/priced various Enron power and natural gas deals for Origination &amp; Midmarketing teams. 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hanging="1891" w:start="1891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Specialized in Eastern US power structuring, specifically swaps, options &amp; tolling arrangements.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hanging="1891" w:start="1891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662" w:leader="none"/>
          <w:tab w:val="left" w:pos="1755" w:leader="none"/>
          <w:tab w:val="left" w:pos="2160" w:leader="none"/>
        </w:tabs>
        <w:suppressAutoHyphens w:val="true"/>
        <w:ind w:hanging="1570" w:start="1570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>8/99-2/00</w:t>
      </w:r>
      <w:r>
        <w:rPr>
          <w:rFonts w:cs="Times" w:ascii="Times" w:hAnsi="Times"/>
          <w:i/>
          <w:spacing w:val="-2"/>
        </w:rPr>
        <w:tab/>
        <w:t>West Gas Trading Desk Associate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hanging="1891" w:start="1891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Worked as Middle-Marketer for Desk, providing natural gas and power risk management products to clients.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hanging="1891" w:start="1891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Served as liaison between Enron’s West Gas &amp; Power Desks, transferring strategy, price and customer information.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662" w:leader="none"/>
          <w:tab w:val="left" w:pos="1755" w:leader="none"/>
          <w:tab w:val="left" w:pos="216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662" w:leader="none"/>
          <w:tab w:val="left" w:pos="1755" w:leader="none"/>
          <w:tab w:val="left" w:pos="2160" w:leader="none"/>
        </w:tabs>
        <w:suppressAutoHyphens w:val="true"/>
        <w:ind w:hanging="1570" w:start="1570" w:end="0"/>
        <w:jc w:val="both"/>
        <w:rPr/>
      </w:pPr>
      <w:r>
        <w:rPr>
          <w:rFonts w:cs="Times" w:ascii="Times" w:hAnsi="Times"/>
          <w:spacing w:val="-2"/>
        </w:rPr>
        <w:t>8/98-8/99</w:t>
      </w:r>
      <w:r>
        <w:rPr>
          <w:rFonts w:cs="Times" w:ascii="Times" w:hAnsi="Times"/>
          <w:i/>
          <w:spacing w:val="-2"/>
        </w:rPr>
        <w:tab/>
        <w:t>West Power Trading Desk Associate</w:t>
        <w:tab/>
        <w:tab/>
        <w:tab/>
        <w:tab/>
        <w:tab/>
        <w:tab/>
        <w:tab/>
      </w:r>
      <w:r>
        <w:rPr>
          <w:rFonts w:cs="Times" w:ascii="Times" w:hAnsi="Times"/>
          <w:spacing w:val="-2"/>
        </w:rPr>
        <w:t>Portland, OR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hanging="1891" w:start="1891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Traded power in the California PX/ISO Markets on Cash basis.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hanging="1891" w:start="1891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Served as the Desk’s California ISO and California Power Exchange policy representative.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hanging="1891" w:start="1891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Analyzed and scheduled California Ancillary Services for the California Desk and ENA customers.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start="1575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clear" w:pos="720"/>
          <w:tab w:val="left" w:pos="1571" w:leader="none"/>
          <w:tab w:val="right" w:pos="10457" w:leader="none"/>
        </w:tabs>
        <w:suppressAutoHyphens w:val="true"/>
        <w:jc w:val="both"/>
        <w:rPr/>
      </w:pPr>
      <w:r>
        <w:rPr>
          <w:rFonts w:cs="Times" w:ascii="Times" w:hAnsi="Times"/>
          <w:spacing w:val="-2"/>
        </w:rPr>
        <w:t>6/97-9/97</w:t>
      </w:r>
      <w:r>
        <w:rPr>
          <w:rFonts w:cs="Times" w:ascii="Times" w:hAnsi="Times"/>
          <w:b/>
          <w:spacing w:val="-2"/>
        </w:rPr>
        <w:tab/>
        <w:t>Sterling Capital Ltd.</w:t>
      </w:r>
      <w:r>
        <w:rPr>
          <w:rFonts w:cs="Times" w:ascii="Times" w:hAnsi="Times"/>
          <w:spacing w:val="-2"/>
        </w:rPr>
        <w:t xml:space="preserve"> (Private Equity Buyout Firm)</w:t>
        <w:tab/>
        <w:t>Chicago, IL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91" w:leader="none"/>
          <w:tab w:val="left" w:pos="2160" w:leader="none"/>
        </w:tabs>
        <w:suppressAutoHyphens w:val="true"/>
        <w:ind w:hanging="1570" w:start="1570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i/>
          <w:spacing w:val="-2"/>
        </w:rPr>
        <w:tab/>
        <w:tab/>
        <w:t>Hedge Fund Analyst/Corporate Finance Summer Intern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ind w:hanging="1848" w:start="1848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Built the portfolio model and reporting systems for newly created $50 million dollar hedge fund.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ind w:hanging="1848" w:start="1848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Assisted an acquisition team in the purchasing of two firms:  responsible for product cashflow forecasts.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clear" w:pos="720"/>
          <w:tab w:val="left" w:pos="1571" w:leader="none"/>
          <w:tab w:val="right" w:pos="10457" w:leader="none"/>
        </w:tabs>
        <w:suppressAutoHyphens w:val="true"/>
        <w:jc w:val="both"/>
        <w:rPr/>
      </w:pPr>
      <w:r>
        <w:rPr>
          <w:rFonts w:cs="Times" w:ascii="Times" w:hAnsi="Times"/>
          <w:spacing w:val="-2"/>
        </w:rPr>
        <w:t>3/94-4/96</w:t>
      </w:r>
      <w:r>
        <w:rPr>
          <w:rFonts w:cs="Times" w:ascii="Times" w:hAnsi="Times"/>
          <w:b/>
          <w:spacing w:val="-2"/>
        </w:rPr>
        <w:tab/>
        <w:t>(ING) International Nederlanden Group Investment Management</w:t>
      </w:r>
      <w:r>
        <w:rPr>
          <w:rFonts w:cs="Times" w:ascii="Times" w:hAnsi="Times"/>
          <w:spacing w:val="-2"/>
        </w:rPr>
        <w:tab/>
        <w:t>Denver, CO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ind w:hanging="1570" w:start="1570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i/>
          <w:spacing w:val="-2"/>
        </w:rPr>
        <w:tab/>
        <w:tab/>
        <w:t>Collateralized Mortgage Obligations/Mortgaged Backed Securities (CMO/MBS) Investment Analyst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ind w:hanging="1848" w:start="1848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Learned to identify valuable assets and to create CMO packages yielding profitable returns across various interest rate and prepayment scenarios.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ind w:hanging="1848" w:start="1848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Generated portfolio performance reports on Residual and Interest Only/Principal Only Portfolios.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ind w:hanging="1848" w:start="1848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•</w:t>
        <w:tab/>
        <w:t>Performed &amp; analyzed asset and portfolio analytics: market values, yields, OAS, durations, and rate of return.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ind w:hanging="1570" w:start="1570" w:end="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b/>
          <w:spacing w:val="-2"/>
        </w:rPr>
        <w:t>EDUCATION</w:t>
        <w:tab/>
        <w:t>The University of Texas at Austin</w:t>
      </w:r>
    </w:p>
    <w:p>
      <w:pPr>
        <w:pStyle w:val="Normal"/>
        <w:tabs>
          <w:tab w:val="left" w:pos="720" w:leader="none"/>
          <w:tab w:val="left" w:pos="1570" w:leader="none"/>
          <w:tab w:val="right" w:pos="10457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Master of Business Administration in Finance</w:t>
        <w:tab/>
        <w:t>May 1998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spacing w:lineRule="auto" w:line="12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jc w:val="both"/>
        <w:rPr/>
      </w:pPr>
      <w:r>
        <w:rPr>
          <w:rFonts w:cs="Times" w:ascii="Times" w:hAnsi="Times"/>
          <w:b/>
          <w:spacing w:val="-2"/>
        </w:rPr>
        <w:tab/>
        <w:tab/>
        <w:t>University of San Diego</w:t>
      </w:r>
      <w:r>
        <w:rPr>
          <w:rFonts w:cs="Times" w:ascii="Times" w:hAnsi="Times"/>
          <w:spacing w:val="-2"/>
        </w:rPr>
        <w:t xml:space="preserve"> - San Diego, CA</w:t>
      </w:r>
    </w:p>
    <w:p>
      <w:pPr>
        <w:pStyle w:val="Normal"/>
        <w:tabs>
          <w:tab w:val="left" w:pos="720" w:leader="none"/>
          <w:tab w:val="left" w:pos="1570" w:leader="none"/>
          <w:tab w:val="right" w:pos="10457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Bachelor of Business Administration in Business Economics (Honors in Major)</w:t>
        <w:tab/>
        <w:t>May 1993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spacing w:lineRule="auto" w:line="12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jc w:val="both"/>
        <w:rPr/>
      </w:pPr>
      <w:r>
        <w:rPr>
          <w:rFonts w:cs="Times" w:ascii="Times" w:hAnsi="Times"/>
          <w:b/>
          <w:spacing w:val="-2"/>
        </w:rPr>
        <w:tab/>
        <w:tab/>
        <w:t>Saint Clares College</w:t>
      </w:r>
      <w:r>
        <w:rPr>
          <w:rFonts w:cs="Times" w:ascii="Times" w:hAnsi="Times"/>
          <w:spacing w:val="-2"/>
        </w:rPr>
        <w:t xml:space="preserve"> - Oxford, UK</w:t>
      </w:r>
    </w:p>
    <w:p>
      <w:pPr>
        <w:pStyle w:val="Normal"/>
        <w:tabs>
          <w:tab w:val="left" w:pos="720" w:leader="none"/>
          <w:tab w:val="left" w:pos="1570" w:leader="none"/>
          <w:tab w:val="right" w:pos="10457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Foreign Study Student</w:t>
        <w:tab/>
        <w:t>Fall 1991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spacing w:lineRule="auto" w:line="120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jc w:val="both"/>
        <w:rPr/>
      </w:pPr>
      <w:r>
        <w:rPr>
          <w:rFonts w:cs="Times" w:ascii="Times" w:hAnsi="Times"/>
          <w:b/>
          <w:spacing w:val="-2"/>
        </w:rPr>
        <w:tab/>
        <w:tab/>
        <w:t>Culver Academy</w:t>
      </w:r>
      <w:r>
        <w:rPr>
          <w:rFonts w:cs="Times" w:ascii="Times" w:hAnsi="Times"/>
          <w:spacing w:val="-2"/>
        </w:rPr>
        <w:t xml:space="preserve"> - Culver, IN</w:t>
      </w:r>
    </w:p>
    <w:p>
      <w:pPr>
        <w:pStyle w:val="Normal"/>
        <w:tabs>
          <w:tab w:val="left" w:pos="720" w:leader="none"/>
          <w:tab w:val="left" w:pos="1571" w:leader="none"/>
          <w:tab w:val="right" w:pos="10457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  <w:tab/>
        <w:tab/>
        <w:t>Honor Council Representative and Cadet Captain</w:t>
        <w:tab/>
        <w:t>May 1989</w:t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jc w:val="both"/>
        <w:rPr>
          <w:rFonts w:ascii="Times" w:hAnsi="Times" w:cs="Times"/>
          <w:spacing w:val="-2"/>
        </w:rPr>
      </w:pPr>
      <w:r>
        <w:rPr>
          <w:rFonts w:cs="Times" w:ascii="Times" w:hAnsi="Times"/>
          <w:spacing w:val="-2"/>
        </w:rPr>
      </w:r>
    </w:p>
    <w:p>
      <w:pPr>
        <w:pStyle w:val="Normal"/>
        <w:tabs>
          <w:tab w:val="left" w:pos="0" w:leader="none"/>
          <w:tab w:val="left" w:pos="720" w:leader="none"/>
          <w:tab w:val="left" w:pos="1570" w:leader="none"/>
          <w:tab w:val="left" w:pos="1848" w:leader="none"/>
          <w:tab w:val="left" w:pos="2160" w:leader="none"/>
        </w:tabs>
        <w:suppressAutoHyphens w:val="true"/>
        <w:ind w:hanging="1570" w:start="1570" w:end="0"/>
        <w:jc w:val="both"/>
        <w:rPr/>
      </w:pPr>
      <w:r>
        <w:rPr>
          <w:rFonts w:cs="Times" w:ascii="Times" w:hAnsi="Times"/>
          <w:b/>
          <w:spacing w:val="-2"/>
        </w:rPr>
        <w:t>ACTIVITIES</w:t>
      </w:r>
      <w:r>
        <w:rPr>
          <w:rFonts w:cs="Times" w:ascii="Times" w:hAnsi="Times"/>
          <w:spacing w:val="-2"/>
        </w:rPr>
        <w:tab/>
        <w:t>CFA Level III Candidate, Japanese martial arts, surfing and outdoors activities.</w:t>
      </w:r>
    </w:p>
    <w:sectPr>
      <w:headerReference w:type="default" r:id="rId2"/>
      <w:footerReference w:type="default" r:id="rId3"/>
      <w:type w:val="nextPage"/>
      <w:pgSz w:w="12240" w:h="15840"/>
      <w:pgMar w:left="891" w:right="891" w:gutter="0" w:header="1152" w:top="1208" w:footer="1008" w:bottom="106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New Century Schoolboo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" w:hAnsi="Times" w:cs="Times"/>
        <w:b/>
        <w:spacing w:val="-2"/>
        <w:sz w:val="24"/>
      </w:rPr>
    </w:pPr>
    <w:r>
      <w:rPr>
        <w:rFonts w:cs="Times" w:ascii="Times" w:hAnsi="Times"/>
        <w:b/>
        <w:spacing w:val="-2"/>
        <w:sz w:val="24"/>
      </w:rPr>
      <w:t>GARRETT EDWARD TRIPP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1930"/>
        </w:tabs>
        <w:ind w:start="193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930"/>
        </w:tabs>
        <w:ind w:start="193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  <w:szCs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20"/>
      <w:szCs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20"/>
      <w:szCs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  <w:sz w:val="16"/>
      <w:szCs w:val="1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20"/>
      <w:szCs w:val="20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  <w:sz w:val="20"/>
      <w:szCs w:val="20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3">
    <w:name w:val="WW8Num18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>
      <w:sz w:val="24"/>
    </w:rPr>
  </w:style>
  <w:style w:type="paragraph" w:styleId="FootnoteText">
    <w:name w:val="footnote text"/>
    <w:basedOn w:val="Normal"/>
    <w:pPr/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2001-12-06T11:59:00Z</dcterms:created>
  <dc:creator>gtripp</dc:creator>
  <dc:description/>
  <dc:language>en-CA</dc:language>
  <cp:lastModifiedBy>gtripp</cp:lastModifiedBy>
  <cp:lastPrinted>2001-05-29T09:27:00Z</cp:lastPrinted>
  <dcterms:modified xsi:type="dcterms:W3CDTF">2001-12-06T11:59:00Z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635531847</vt:r8>
  </property>
  <property fmtid="{D5CDD505-2E9C-101B-9397-08002B2CF9AE}" pid="3" name="_AuthorEmail">
    <vt:lpwstr>gnrtoronto@rogers.com</vt:lpwstr>
  </property>
  <property fmtid="{D5CDD505-2E9C-101B-9397-08002B2CF9AE}" pid="4" name="_AuthorEmailDisplayName">
    <vt:lpwstr>Garrett and Robyn Tripp</vt:lpwstr>
  </property>
  <property fmtid="{D5CDD505-2E9C-101B-9397-08002B2CF9AE}" pid="5" name="_EmailSubject">
    <vt:lpwstr>Resume</vt:lpwstr>
  </property>
</Properties>
</file>