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>October 25, 2001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>Mr. Mark Whitt, Director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>Enron North America Corp.</w:t>
      </w:r>
    </w:p>
    <w:p>
      <w:pPr>
        <w:pStyle w:val="Normal"/>
        <w:rPr/>
      </w:pPr>
      <w:r>
        <w:rPr>
          <w:i/>
          <w:iCs/>
          <w:sz w:val="22"/>
        </w:rPr>
        <w:t>1200 17</w:t>
      </w:r>
      <w:r>
        <w:rPr>
          <w:i/>
          <w:iCs/>
          <w:sz w:val="22"/>
          <w:vertAlign w:val="superscript"/>
        </w:rPr>
        <w:t>th</w:t>
      </w:r>
      <w:r>
        <w:rPr>
          <w:i/>
          <w:iCs/>
          <w:sz w:val="22"/>
        </w:rPr>
        <w:t xml:space="preserve"> Street, Suite 2750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>Denver, CO 80202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Dear Mark: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Enclosed please find my resume for your review and consideration with regard to available positions at Enron. As a result of the completion of the divestitures by TBI Field Services, Inc. of a majority of the interests acquired from Wildhorse and Rulison, I have been informed that my position here at Tom Brown, Inc. is being eliminated effective November 30, 2001.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Although I am most interested in continuing in the Business Development field, please note that I also have experience in the areas of Contract Administration, Land Management, Acquisitions and Divestitures including Due Diligence support, Financial Analysis, Shrink and Fuel Management, Land Administration, Right-of-way Administration, Regulatory Reporting and Accounting.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I am looking for a full-time position, with benefits, and my salary requirements are negotiable.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/>
      </w:pPr>
      <w:r>
        <w:rPr>
          <w:i/>
          <w:iCs/>
          <w:spacing w:val="-2"/>
          <w:sz w:val="22"/>
        </w:rPr>
        <w:t>I would be available for employment in early November. Although my end date here at Tom Brown, Inc. is November 30</w:t>
      </w:r>
      <w:r>
        <w:rPr>
          <w:i/>
          <w:iCs/>
          <w:spacing w:val="-2"/>
          <w:sz w:val="22"/>
          <w:vertAlign w:val="superscript"/>
        </w:rPr>
        <w:t>th</w:t>
      </w:r>
      <w:r>
        <w:rPr>
          <w:i/>
          <w:iCs/>
          <w:spacing w:val="-2"/>
          <w:sz w:val="22"/>
        </w:rPr>
        <w:t>, if I should land a position before that date it would not affect any of my severance benefits from Tom Brown, Inc. Further, my supervisors tell me that I am leaving on good terms having participated in the successfully completed divestitures of the former Wildhorse and Rulison interests.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I enjoyed working with you on our previous dealings and I thank you for your time and consideration. If you should have any questions, or require any additional information, do not hesitate to contact me at any of the numbers or e-mail addresses shown below.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Respectfully,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Kent H. Harris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6641 S. Valley Circle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Morrison, CO 80465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W – (303) 260-5166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C – (303) 517-3140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F – (720) 946-5566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H – (303) 697-4227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hyperlink r:id="rId2">
        <w:r>
          <w:rPr>
            <w:rStyle w:val="Hyperlink"/>
            <w:i/>
            <w:iCs/>
            <w:spacing w:val="-2"/>
            <w:sz w:val="22"/>
          </w:rPr>
          <w:t>kharris@tombrown.com</w:t>
        </w:r>
      </w:hyperlink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rPr>
          <w:i/>
          <w:i/>
          <w:iCs/>
          <w:spacing w:val="-2"/>
          <w:sz w:val="22"/>
        </w:rPr>
      </w:pPr>
      <w:hyperlink r:id="rId3">
        <w:r>
          <w:rPr>
            <w:rStyle w:val="Hyperlink"/>
            <w:i/>
            <w:iCs/>
            <w:spacing w:val="-2"/>
            <w:sz w:val="22"/>
          </w:rPr>
          <w:t>easi@qwest.net</w:t>
        </w:r>
      </w:hyperlink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outlineLvl w:val="0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outlineLvl w:val="0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/khh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outlineLvl w:val="0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  <w:t>Enclosure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right" w:pos="9360" w:leader="none"/>
        </w:tabs>
        <w:suppressAutoHyphens w:val="true"/>
        <w:jc w:val="both"/>
        <w:outlineLvl w:val="0"/>
        <w:rPr>
          <w:i/>
          <w:i/>
          <w:iCs/>
          <w:spacing w:val="-2"/>
          <w:sz w:val="22"/>
        </w:rPr>
      </w:pPr>
      <w:r>
        <w:rPr>
          <w:i/>
          <w:iCs/>
          <w:spacing w:val="-2"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right" w:pos="9360" w:leader="none"/>
      </w:tabs>
      <w:suppressAutoHyphens w:val="true"/>
    </w:pPr>
    <w:rPr>
      <w:i/>
      <w:iCs/>
      <w:spacing w:val="-2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harris@tombrown.com" TargetMode="External"/><Relationship Id="rId3" Type="http://schemas.openxmlformats.org/officeDocument/2006/relationships/hyperlink" Target="mailto:easi@qwest.ne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2001-10-25T17:45:00Z</dcterms:created>
  <dc:creator>Kent Harris</dc:creator>
  <dc:description/>
  <dc:language>en-CA</dc:language>
  <cp:lastModifiedBy>Kent Harris</cp:lastModifiedBy>
  <cp:lastPrinted>2001-10-23T14:50:00Z</cp:lastPrinted>
  <dcterms:modified xsi:type="dcterms:W3CDTF">2001-10-25T17:51:00Z</dcterms:modified>
  <cp:revision>3</cp:revision>
  <dc:subject/>
  <dc:title>October 24, 2001</dc:title>
</cp:coreProperties>
</file>