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CRAIG R. ROACH</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spacing w:lineRule="exact" w:line="57"/>
        <w:rPr>
          <w:rFonts w:ascii="CG Times" w:hAnsi="CG Times" w:cs="CG Times"/>
          <w:sz w:val="22"/>
          <w:lang w:val="en-CA" w:eastAsia="en-CA"/>
        </w:rPr>
      </w:pPr>
      <w:r>
        <w:rPr>
          <w:rFonts w:cs="CG Times" w:ascii="CG Times" w:hAnsi="CG Times"/>
          <w:sz w:val="22"/>
          <w:lang w:val="en-CA" w:eastAsia="en-CA"/>
        </w:rPr>
        <mc:AlternateContent>
          <mc:Choice Requires="wps">
            <w:drawing>
              <wp:anchor behindDoc="1" distT="0" distB="0" distL="114935" distR="114935" simplePos="0" locked="0" layoutInCell="0" allowOverlap="1" relativeHeight="2">
                <wp:simplePos x="0" y="0"/>
                <wp:positionH relativeFrom="margin">
                  <wp:posOffset>91440</wp:posOffset>
                </wp:positionH>
                <wp:positionV relativeFrom="paragraph">
                  <wp:posOffset>635</wp:posOffset>
                </wp:positionV>
                <wp:extent cx="5410200" cy="36195"/>
                <wp:effectExtent l="0" t="635" r="0" b="0"/>
                <wp:wrapNone/>
                <wp:docPr id="1" name=""/>
                <a:graphic xmlns:a="http://schemas.openxmlformats.org/drawingml/2006/main">
                  <a:graphicData uri="http://schemas.microsoft.com/office/word/2010/wordprocessingShape">
                    <wps:wsp>
                      <wps:cNvSpPr/>
                      <wps:spPr>
                        <a:xfrm>
                          <a:off x="0" y="0"/>
                          <a:ext cx="541008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25.95pt;height:2.8pt;mso-wrap-style:none;v-text-anchor:middle;mso-position-horizontal-relative:margin">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Craig Roach has twenty-five years of experience working on investments in, policies for, and litigation concerning the electricity, natural gas, and other energy businesses.  Craig founded and incorporated Boston Pacific in Washington, DC in 1987.</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pPr>
      <w:r>
        <w:rPr>
          <w:rFonts w:cs="CG Times" w:ascii="CG Times" w:hAnsi="CG Times"/>
          <w:sz w:val="22"/>
        </w:rPr>
        <w:tab/>
        <w:tab/>
        <w:tab/>
        <w:t xml:space="preserve">Boston Pacific is often hired to supplement the in-house transaction teams of our clients for asset development and acquisition.  We have done so throughout the U.S. and in thirty countries around the world.  Craig directs these engagements.  His work includes conducting the full range of financial due diligence tasks, building new or validating existing financial </w:t>
      </w:r>
      <w:r>
        <w:rPr>
          <w:rFonts w:cs="CG Times" w:ascii="CG Times" w:hAnsi="CG Times"/>
          <w:i/>
          <w:sz w:val="22"/>
        </w:rPr>
        <w:t>pro forma</w:t>
      </w:r>
      <w:r>
        <w:rPr>
          <w:rFonts w:cs="CG Times" w:ascii="CG Times" w:hAnsi="CG Times"/>
          <w:sz w:val="22"/>
        </w:rPr>
        <w:t>, forecasting market prices, identifying and measuring risks, explaining the rules of the marketplace, writing and interpreting contracts, and preparing bid packages.</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Craig has served as an expert witness on the electricity and natural gas businesses in ten cases before the Federal Energy Regulatory Commission, and has presented testimony or comments to thirteen state commissions plus a Canadian provincial board and a City Council.  He also has served as an expert in arbitrations, in Federal Court, in State Court, and before a Congressional Sub-Committee.</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The great variety of topics in Craig’s testimonies documents the breadth and depth of his experience in the electricity and natural gas businesses.  He has served as an expert witness on issues such as market power (antitrust), electric industry restructuring, ratemaking by both electric and gas utilities, finance for both competitive power suppliers and utilities, system reliability, and contract abrogation.  His expertise also is reflected in the fact that he is a widely sought-after speaker.</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Craig has also served as a policy advisor to the District of Columbia Public Service Commission, the New Jersey Public Advocate, the California State Legislature, the U.S. Congressional Office of Technology Assessment, and the U.S. Environmental Protection Agency.</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While in California, Craig was a Lecturer at the California State University at Hayward, where he taught Managerial Economics at the School of Business.</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Prior to founding Boston Pacific, Craig was a Project Manager with ICF Incorporated.  While at ICF, Craig developed an engineering</w:t>
        <w:noBreakHyphen/>
        <w:t>economic model to forecast industrial fuel choice, assessed the impact of air pollution regulations on coal markets, and identified opportunities for coal exports to Asia and Europe.</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rFonts w:ascii="CG Times" w:hAnsi="CG Times" w:cs="CG Times"/>
          <w:sz w:val="22"/>
        </w:rPr>
      </w:pPr>
      <w:r>
        <w:rPr>
          <w:rFonts w:cs="CG Times" w:ascii="CG Times" w:hAnsi="CG Times"/>
          <w:sz w:val="22"/>
        </w:rPr>
        <w:tab/>
        <w:tab/>
        <w:tab/>
        <w:t>From 1975 to 1979, Craig was a Principal Analyst for the U.S. Congressional Budget Office.  He provided analyses on energy and environmental legislation through written reports and testimony to Congressional committees.</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spacing w:lineRule="auto" w:line="216"/>
        <w:rPr>
          <w:rFonts w:ascii="CG Times" w:hAnsi="CG Times" w:cs="CG Times"/>
          <w:sz w:val="22"/>
        </w:rPr>
      </w:pPr>
      <w:r>
        <w:rPr>
          <w:rFonts w:cs="CG Times" w:ascii="CG Times" w:hAnsi="CG Times"/>
          <w:sz w:val="22"/>
        </w:rPr>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pPr>
      <w:r>
        <w:rPr>
          <w:rFonts w:cs="CG Times" w:ascii="CG Times" w:hAnsi="CG Times"/>
          <w:sz w:val="22"/>
        </w:rPr>
        <w:tab/>
        <w:tab/>
        <w:tab/>
        <w:t xml:space="preserve">Craig holds a Ph.D. in Economics from the University of Wisconsin.  His major field was Public Finance and his minor field was Energy Engineering.  Craig earned his B.S. in Economics, </w:t>
      </w:r>
      <w:r>
        <w:rPr>
          <w:rFonts w:cs="CG Times" w:ascii="CG Times" w:hAnsi="CG Times"/>
          <w:i/>
          <w:sz w:val="22"/>
        </w:rPr>
        <w:t>cum laude</w:t>
      </w:r>
      <w:r>
        <w:rPr>
          <w:rFonts w:cs="CG Times" w:ascii="CG Times" w:hAnsi="CG Times"/>
          <w:sz w:val="22"/>
        </w:rPr>
        <w:t>, from John Carroll University.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end"/>
      <w:rPr/>
    </w:pPr>
    <w:r>
      <w:rPr/>
      <w:t>BOSTON PACIFIC COMPANY, INC.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jc w:val="center"/>
    </w:pPr>
    <w:rPr>
      <w:rFonts w:ascii="CG Times" w:hAnsi="CG Times" w:cs="CG Times"/>
      <w:b/>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2001-03-16T21:45:00Z</dcterms:created>
  <dc:creator>Candace Francis</dc:creator>
  <dc:description/>
  <dc:language>en-CA</dc:language>
  <cp:lastModifiedBy>Katie Kaplan</cp:lastModifiedBy>
  <cp:lastPrinted>2001-03-16T17:10:00Z</cp:lastPrinted>
  <dcterms:modified xsi:type="dcterms:W3CDTF">2001-03-16T21:45:00Z</dcterms:modified>
  <cp:revision>2</cp:revision>
  <dc:subject/>
  <dc:title>CRAIG R</dc:title>
</cp:coreProperties>
</file>