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Cs w:val="22"/>
        </w:rPr>
      </w:pPr>
      <w:r>
        <w:rPr>
          <w:b/>
          <w:szCs w:val="22"/>
        </w:rPr>
        <w:t>Ray J. Alvarez</w:t>
      </w:r>
    </w:p>
    <w:p>
      <w:pPr>
        <w:pStyle w:val="Normal"/>
        <w:jc w:val="center"/>
        <w:rPr>
          <w:b/>
          <w:szCs w:val="22"/>
        </w:rPr>
      </w:pPr>
      <w:r>
        <w:rPr>
          <w:b/>
          <w:szCs w:val="22"/>
        </w:rPr>
        <w:t>8909 First Avenue</w:t>
      </w:r>
    </w:p>
    <w:p>
      <w:pPr>
        <w:pStyle w:val="Normal"/>
        <w:jc w:val="center"/>
        <w:rPr>
          <w:b/>
          <w:szCs w:val="22"/>
        </w:rPr>
      </w:pPr>
      <w:r>
        <w:rPr>
          <w:b/>
          <w:szCs w:val="22"/>
        </w:rPr>
        <w:t>Silver Spring, MD.  20910</w:t>
      </w:r>
    </w:p>
    <w:p>
      <w:pPr>
        <w:pStyle w:val="Normal"/>
        <w:jc w:val="center"/>
        <w:rPr>
          <w:b/>
          <w:szCs w:val="22"/>
        </w:rPr>
      </w:pPr>
      <w:r>
        <w:rPr>
          <w:b/>
          <w:szCs w:val="22"/>
        </w:rPr>
        <w:t>(301) 587-8851</w:t>
      </w:r>
    </w:p>
    <w:p>
      <w:pPr>
        <w:pStyle w:val="Normal"/>
        <w:jc w:val="center"/>
        <w:rPr>
          <w:b/>
          <w:sz w:val="20"/>
          <w:szCs w:val="22"/>
        </w:rPr>
      </w:pPr>
      <w:r>
        <w:rPr>
          <w:b/>
          <w:sz w:val="20"/>
          <w:szCs w:val="22"/>
        </w:rPr>
        <w:t>rayalvarez1@home.com</w:t>
      </w:r>
    </w:p>
    <w:p>
      <w:pPr>
        <w:pStyle w:val="Normal"/>
        <w:jc w:val="both"/>
        <w:rPr>
          <w:b/>
          <w:bCs/>
          <w:sz w:val="22"/>
          <w:szCs w:val="22"/>
        </w:rPr>
      </w:pPr>
      <w:r>
        <w:rPr>
          <w:b/>
          <w:bCs/>
          <w:sz w:val="22"/>
          <w:szCs w:val="22"/>
        </w:rPr>
      </w:r>
    </w:p>
    <w:p>
      <w:pPr>
        <w:pStyle w:val="Normal"/>
        <w:jc w:val="both"/>
        <w:rPr>
          <w:b/>
          <w:bCs/>
          <w:sz w:val="22"/>
        </w:rPr>
      </w:pPr>
      <w:r>
        <w:rPr>
          <w:b/>
          <w:bCs/>
          <w:sz w:val="22"/>
        </w:rPr>
        <w:t>SUMMARY:</w:t>
      </w:r>
    </w:p>
    <w:p>
      <w:pPr>
        <w:pStyle w:val="Normal"/>
        <w:jc w:val="both"/>
        <w:rPr>
          <w:b/>
          <w:bCs/>
          <w:sz w:val="22"/>
        </w:rPr>
      </w:pPr>
      <w:r>
        <w:rPr>
          <w:b/>
          <w:bCs/>
          <w:sz w:val="22"/>
        </w:rPr>
      </w:r>
    </w:p>
    <w:p>
      <w:pPr>
        <w:pStyle w:val="BodyText"/>
        <w:rPr/>
      </w:pPr>
      <w:r>
        <w:rPr/>
        <w:t>Senior lawyer with 19 years domestic and international experience in the natural gas pipeline, E&amp;P and electric businesses.  An innovative, people-oriented individual who achieves superior results in a team environment combining individual and group-oriented projects.  Commended performance includes: communication (verbal and written), critical thinking, understands the commercial aspects of the business, team leadership skills, problem solving and crisis management.</w:t>
      </w:r>
    </w:p>
    <w:p>
      <w:pPr>
        <w:pStyle w:val="Normal"/>
        <w:jc w:val="center"/>
        <w:rPr>
          <w:b/>
          <w:sz w:val="22"/>
          <w:szCs w:val="22"/>
        </w:rPr>
      </w:pPr>
      <w:r>
        <w:rPr>
          <w:b/>
          <w:sz w:val="22"/>
          <w:szCs w:val="22"/>
        </w:rPr>
      </w:r>
    </w:p>
    <w:p>
      <w:pPr>
        <w:pStyle w:val="Normal"/>
        <w:jc w:val="both"/>
        <w:rPr>
          <w:b/>
          <w:sz w:val="22"/>
          <w:szCs w:val="22"/>
        </w:rPr>
      </w:pPr>
      <w:r>
        <w:rPr>
          <w:b/>
          <w:sz w:val="22"/>
          <w:szCs w:val="22"/>
        </w:rPr>
        <w:t>LEGAL AND REGULATORY EXPERIENCE:</w:t>
      </w:r>
    </w:p>
    <w:p>
      <w:pPr>
        <w:pStyle w:val="Normal"/>
        <w:jc w:val="both"/>
        <w:rPr>
          <w:b/>
          <w:sz w:val="22"/>
          <w:szCs w:val="22"/>
        </w:rPr>
      </w:pPr>
      <w:r>
        <w:rPr>
          <w:b/>
          <w:sz w:val="22"/>
          <w:szCs w:val="22"/>
        </w:rPr>
      </w:r>
    </w:p>
    <w:p>
      <w:pPr>
        <w:pStyle w:val="Normal"/>
        <w:ind w:start="720" w:end="0"/>
        <w:jc w:val="both"/>
        <w:rPr/>
      </w:pPr>
      <w:r>
        <w:rPr>
          <w:b/>
          <w:sz w:val="22"/>
          <w:szCs w:val="22"/>
        </w:rPr>
        <w:t>VICE PRESIDENT, FEDERAL REGULATORY AFFAIRS,</w:t>
      </w:r>
      <w:r>
        <w:rPr>
          <w:sz w:val="22"/>
          <w:szCs w:val="22"/>
        </w:rPr>
        <w:t xml:space="preserve"> Enron Corp., Washington D.C.  3/01-present</w:t>
      </w:r>
    </w:p>
    <w:p>
      <w:pPr>
        <w:pStyle w:val="Normal"/>
        <w:numPr>
          <w:ilvl w:val="0"/>
          <w:numId w:val="4"/>
        </w:numPr>
        <w:jc w:val="both"/>
        <w:rPr>
          <w:sz w:val="22"/>
          <w:szCs w:val="22"/>
        </w:rPr>
      </w:pPr>
      <w:r>
        <w:rPr>
          <w:sz w:val="22"/>
          <w:szCs w:val="22"/>
        </w:rPr>
        <w:t>Responsible for advancing company regulatory objectives and initiatives at FERC, relating to wholesale electric matters in the western United States.</w:t>
      </w:r>
    </w:p>
    <w:p>
      <w:pPr>
        <w:pStyle w:val="Normal"/>
        <w:numPr>
          <w:ilvl w:val="0"/>
          <w:numId w:val="4"/>
        </w:numPr>
        <w:jc w:val="both"/>
        <w:rPr>
          <w:sz w:val="22"/>
          <w:szCs w:val="22"/>
        </w:rPr>
      </w:pPr>
      <w:r>
        <w:rPr>
          <w:sz w:val="22"/>
          <w:szCs w:val="22"/>
        </w:rPr>
        <w:t>Charged with obtaining a commercially favorable outcome in the California wholesale electric refund case pending before FERC; supervision and direction of outside counsel in the proceeding.</w:t>
      </w:r>
    </w:p>
    <w:p>
      <w:pPr>
        <w:pStyle w:val="Normal"/>
        <w:ind w:start="720" w:end="0"/>
        <w:jc w:val="both"/>
        <w:rPr>
          <w:b/>
          <w:sz w:val="22"/>
          <w:szCs w:val="22"/>
        </w:rPr>
      </w:pPr>
      <w:r>
        <w:rPr>
          <w:b/>
          <w:sz w:val="22"/>
          <w:szCs w:val="22"/>
        </w:rPr>
      </w:r>
    </w:p>
    <w:p>
      <w:pPr>
        <w:pStyle w:val="Normal"/>
        <w:ind w:start="720" w:end="0"/>
        <w:jc w:val="both"/>
        <w:rPr/>
      </w:pPr>
      <w:r>
        <w:rPr>
          <w:b/>
          <w:sz w:val="22"/>
          <w:szCs w:val="22"/>
        </w:rPr>
        <w:t>GENERAL COUNSEL / VICE PRESIDENT OF LEGAL &amp; REGULATORY AFFAIRS,</w:t>
      </w:r>
      <w:r>
        <w:rPr>
          <w:sz w:val="22"/>
          <w:szCs w:val="22"/>
        </w:rPr>
        <w:t xml:space="preserve">  Enron Transredes Transporte de Hidrocarburos S.A., Santa Cruz, Bolivia 2/97-2/01</w:t>
      </w:r>
    </w:p>
    <w:p>
      <w:pPr>
        <w:pStyle w:val="Normal"/>
        <w:numPr>
          <w:ilvl w:val="0"/>
          <w:numId w:val="4"/>
        </w:numPr>
        <w:jc w:val="both"/>
        <w:rPr>
          <w:sz w:val="22"/>
          <w:szCs w:val="22"/>
        </w:rPr>
      </w:pPr>
      <w:r>
        <w:rPr>
          <w:sz w:val="22"/>
          <w:szCs w:val="22"/>
        </w:rPr>
        <w:t>Provided legal and regulatory support in the acquisition of the newly privatized gas and liquids pipeline company; joined the expatriate management team; established and organized the legal department, consisting of 5 lawyers;  rendered legal services to the company and its affiliate, Gas Transboliviano S.A. (Bolivia-Brazil Pipeline).</w:t>
      </w:r>
    </w:p>
    <w:p>
      <w:pPr>
        <w:pStyle w:val="Normal"/>
        <w:numPr>
          <w:ilvl w:val="0"/>
          <w:numId w:val="4"/>
        </w:numPr>
        <w:jc w:val="both"/>
        <w:rPr>
          <w:sz w:val="22"/>
          <w:szCs w:val="22"/>
        </w:rPr>
      </w:pPr>
      <w:r>
        <w:rPr>
          <w:sz w:val="22"/>
          <w:szCs w:val="22"/>
        </w:rPr>
        <w:t>Accepted the additional responsibility of heading the rates and regulatory affairs department, consisting of 5 professionals; practiced before SIRESE, the Bolivian regulator of natural gas transportation, filed the company’s first rate case.</w:t>
      </w:r>
    </w:p>
    <w:p>
      <w:pPr>
        <w:pStyle w:val="Normal"/>
        <w:ind w:start="720" w:end="0"/>
        <w:jc w:val="both"/>
        <w:rPr>
          <w:b/>
          <w:sz w:val="22"/>
          <w:szCs w:val="22"/>
        </w:rPr>
      </w:pPr>
      <w:r>
        <w:rPr>
          <w:b/>
          <w:sz w:val="22"/>
          <w:szCs w:val="22"/>
        </w:rPr>
      </w:r>
    </w:p>
    <w:p>
      <w:pPr>
        <w:pStyle w:val="Normal"/>
        <w:ind w:start="720" w:end="0"/>
        <w:jc w:val="both"/>
        <w:rPr/>
      </w:pPr>
      <w:r>
        <w:rPr>
          <w:b/>
          <w:sz w:val="22"/>
          <w:szCs w:val="22"/>
        </w:rPr>
        <w:t>SENIOR COUNSEL,</w:t>
      </w:r>
      <w:r>
        <w:rPr>
          <w:sz w:val="22"/>
          <w:szCs w:val="22"/>
        </w:rPr>
        <w:t xml:space="preserve">  Enron Capital &amp; Trade Resources Corp., Houston, TX. 8/95-1/97</w:t>
      </w:r>
    </w:p>
    <w:p>
      <w:pPr>
        <w:pStyle w:val="Normal"/>
        <w:numPr>
          <w:ilvl w:val="0"/>
          <w:numId w:val="4"/>
        </w:numPr>
        <w:jc w:val="both"/>
        <w:rPr>
          <w:sz w:val="22"/>
          <w:szCs w:val="22"/>
        </w:rPr>
      </w:pPr>
      <w:r>
        <w:rPr>
          <w:sz w:val="22"/>
          <w:szCs w:val="22"/>
        </w:rPr>
        <w:t>Provided legal and regulatory support for the nascent natural gas trading business in Argentina.</w:t>
      </w:r>
    </w:p>
    <w:p>
      <w:pPr>
        <w:pStyle w:val="Normal"/>
        <w:numPr>
          <w:ilvl w:val="0"/>
          <w:numId w:val="4"/>
        </w:numPr>
        <w:jc w:val="both"/>
        <w:rPr>
          <w:sz w:val="22"/>
          <w:szCs w:val="22"/>
        </w:rPr>
      </w:pPr>
      <w:r>
        <w:rPr>
          <w:sz w:val="22"/>
          <w:szCs w:val="22"/>
        </w:rPr>
        <w:t>Supported the core U.S. natural gas trading business, providing legal counsel on natural gas trading contracts and related matters.</w:t>
      </w:r>
    </w:p>
    <w:p>
      <w:pPr>
        <w:pStyle w:val="Normal"/>
        <w:ind w:firstLine="720" w:end="0"/>
        <w:jc w:val="both"/>
        <w:rPr>
          <w:b/>
          <w:sz w:val="22"/>
          <w:szCs w:val="22"/>
        </w:rPr>
      </w:pPr>
      <w:r>
        <w:rPr>
          <w:b/>
          <w:sz w:val="22"/>
          <w:szCs w:val="22"/>
        </w:rPr>
      </w:r>
    </w:p>
    <w:p>
      <w:pPr>
        <w:pStyle w:val="Normal"/>
        <w:ind w:start="720" w:end="0"/>
        <w:jc w:val="both"/>
        <w:rPr/>
      </w:pPr>
      <w:r>
        <w:rPr>
          <w:b/>
          <w:sz w:val="22"/>
          <w:szCs w:val="22"/>
        </w:rPr>
        <w:t>SENIOR REGULATORY COUNSEL,</w:t>
      </w:r>
      <w:r>
        <w:rPr>
          <w:sz w:val="22"/>
          <w:szCs w:val="22"/>
        </w:rPr>
        <w:t xml:space="preserve">  Enron Transportadora de Gas del Sur S.A., Buenos Aires, Argentina  1/93-7/95</w:t>
      </w:r>
    </w:p>
    <w:p>
      <w:pPr>
        <w:pStyle w:val="Normal"/>
        <w:numPr>
          <w:ilvl w:val="0"/>
          <w:numId w:val="4"/>
        </w:numPr>
        <w:jc w:val="both"/>
        <w:rPr>
          <w:sz w:val="22"/>
          <w:szCs w:val="22"/>
        </w:rPr>
      </w:pPr>
      <w:r>
        <w:rPr>
          <w:sz w:val="22"/>
          <w:szCs w:val="22"/>
        </w:rPr>
        <w:t>Selected to be the sole attorney on the expatriate team responsible for the acquisition and operation of Enron’s first international gas pipeline joint venture.</w:t>
      </w:r>
    </w:p>
    <w:p>
      <w:pPr>
        <w:pStyle w:val="Normal"/>
        <w:numPr>
          <w:ilvl w:val="0"/>
          <w:numId w:val="4"/>
        </w:numPr>
        <w:jc w:val="both"/>
        <w:rPr>
          <w:sz w:val="22"/>
          <w:szCs w:val="22"/>
        </w:rPr>
      </w:pPr>
      <w:r>
        <w:rPr>
          <w:sz w:val="22"/>
          <w:szCs w:val="22"/>
        </w:rPr>
        <w:t>Provided legal and regulatory counsel on regulated gas pipeline matters before ENARGAS, the Argentine regulator of natural gas transportation.</w:t>
      </w:r>
    </w:p>
    <w:p>
      <w:pPr>
        <w:pStyle w:val="Normal"/>
        <w:jc w:val="both"/>
        <w:rPr>
          <w:b/>
          <w:sz w:val="22"/>
          <w:szCs w:val="22"/>
        </w:rPr>
      </w:pPr>
      <w:r>
        <w:rPr>
          <w:b/>
          <w:sz w:val="22"/>
          <w:szCs w:val="22"/>
        </w:rPr>
        <w:tab/>
      </w:r>
      <w:r>
        <w:br w:type="page"/>
      </w:r>
    </w:p>
    <w:p>
      <w:pPr>
        <w:pStyle w:val="Normal"/>
        <w:jc w:val="both"/>
        <w:rPr>
          <w:b/>
          <w:sz w:val="22"/>
          <w:szCs w:val="22"/>
        </w:rPr>
      </w:pPr>
      <w:r>
        <w:rPr>
          <w:b/>
          <w:sz w:val="22"/>
          <w:szCs w:val="22"/>
        </w:rPr>
      </w:r>
    </w:p>
    <w:p>
      <w:pPr>
        <w:pStyle w:val="Normal"/>
        <w:jc w:val="both"/>
        <w:rPr/>
      </w:pPr>
      <w:r>
        <w:rPr>
          <w:b/>
          <w:sz w:val="22"/>
          <w:szCs w:val="22"/>
        </w:rPr>
        <w:tab/>
        <w:t>SENIOR COUNSEL,</w:t>
      </w:r>
      <w:r>
        <w:rPr>
          <w:sz w:val="22"/>
          <w:szCs w:val="22"/>
        </w:rPr>
        <w:t xml:space="preserve">  Enron Northern Natural Gas Company and Transwestern </w:t>
      </w:r>
    </w:p>
    <w:p>
      <w:pPr>
        <w:pStyle w:val="Normal"/>
        <w:ind w:start="720" w:end="0"/>
        <w:jc w:val="both"/>
        <w:rPr>
          <w:sz w:val="22"/>
          <w:szCs w:val="22"/>
        </w:rPr>
      </w:pPr>
      <w:r>
        <w:rPr>
          <w:sz w:val="22"/>
          <w:szCs w:val="22"/>
        </w:rPr>
        <w:t>Pipeline Company,  Houston, TX.  9/88-12/92</w:t>
      </w:r>
    </w:p>
    <w:p>
      <w:pPr>
        <w:pStyle w:val="Normal"/>
        <w:numPr>
          <w:ilvl w:val="0"/>
          <w:numId w:val="4"/>
        </w:numPr>
        <w:jc w:val="both"/>
        <w:rPr>
          <w:sz w:val="22"/>
          <w:szCs w:val="22"/>
        </w:rPr>
      </w:pPr>
      <w:r>
        <w:rPr>
          <w:sz w:val="22"/>
          <w:szCs w:val="22"/>
        </w:rPr>
        <w:t xml:space="preserve">Provided legal counsel in natural gas transportation matters and the marketing of transportation services. </w:t>
      </w:r>
    </w:p>
    <w:p>
      <w:pPr>
        <w:pStyle w:val="Normal"/>
        <w:numPr>
          <w:ilvl w:val="0"/>
          <w:numId w:val="4"/>
        </w:numPr>
        <w:jc w:val="both"/>
        <w:rPr>
          <w:sz w:val="22"/>
          <w:szCs w:val="22"/>
        </w:rPr>
      </w:pPr>
      <w:r>
        <w:rPr>
          <w:sz w:val="22"/>
          <w:szCs w:val="22"/>
        </w:rPr>
        <w:t xml:space="preserve">Previously responsible for all aspects of gas supply legal counsel, including matters arising during day-to-day operations, gas contracts, assessment of impact of recent regulatory and judicial decisions, and legislation.  Supervision and direction of litigation counsel in take or pay litigation, and advising managers, officers, and president in gas supply legal matters. </w:t>
      </w:r>
    </w:p>
    <w:p>
      <w:pPr>
        <w:pStyle w:val="Normal"/>
        <w:jc w:val="both"/>
        <w:rPr>
          <w:sz w:val="22"/>
          <w:szCs w:val="22"/>
        </w:rPr>
      </w:pPr>
      <w:r>
        <w:rPr>
          <w:sz w:val="22"/>
          <w:szCs w:val="22"/>
        </w:rPr>
      </w:r>
    </w:p>
    <w:p>
      <w:pPr>
        <w:pStyle w:val="Normal"/>
        <w:ind w:start="720" w:end="0"/>
        <w:jc w:val="both"/>
        <w:rPr/>
      </w:pPr>
      <w:r>
        <w:rPr>
          <w:b/>
          <w:sz w:val="22"/>
          <w:szCs w:val="22"/>
        </w:rPr>
        <w:t>ATTORNEY ADVISOR</w:t>
      </w:r>
      <w:r>
        <w:rPr>
          <w:sz w:val="22"/>
          <w:szCs w:val="22"/>
        </w:rPr>
        <w:t>,  Federal Energy Regulatory Commission, Office of the General Counsel,  Washington, D.C.  6/87-8/88</w:t>
      </w:r>
    </w:p>
    <w:p>
      <w:pPr>
        <w:pStyle w:val="Normal"/>
        <w:numPr>
          <w:ilvl w:val="0"/>
          <w:numId w:val="2"/>
        </w:numPr>
        <w:jc w:val="both"/>
        <w:rPr>
          <w:sz w:val="22"/>
          <w:szCs w:val="22"/>
        </w:rPr>
      </w:pPr>
      <w:r>
        <w:rPr>
          <w:sz w:val="22"/>
          <w:szCs w:val="22"/>
        </w:rPr>
        <w:t>Conducted extensive research and analysis in resolving highly complex legal and factual questions relating to producer regulation and producer related issues.</w:t>
      </w:r>
    </w:p>
    <w:p>
      <w:pPr>
        <w:pStyle w:val="Normal"/>
        <w:numPr>
          <w:ilvl w:val="0"/>
          <w:numId w:val="2"/>
        </w:numPr>
        <w:jc w:val="both"/>
        <w:rPr>
          <w:sz w:val="22"/>
          <w:szCs w:val="22"/>
        </w:rPr>
      </w:pPr>
      <w:r>
        <w:rPr>
          <w:sz w:val="22"/>
          <w:szCs w:val="22"/>
        </w:rPr>
        <w:t>Authored Commission orders, orders of the Director of OPPR, opinions of the General Counsel, memoranda, notices and other legal documents for consideration or issuance by the Commission and staff.</w:t>
      </w:r>
    </w:p>
    <w:p>
      <w:pPr>
        <w:pStyle w:val="Normal"/>
        <w:jc w:val="both"/>
        <w:rPr>
          <w:sz w:val="22"/>
          <w:szCs w:val="22"/>
        </w:rPr>
      </w:pPr>
      <w:r>
        <w:rPr>
          <w:sz w:val="22"/>
          <w:szCs w:val="22"/>
        </w:rPr>
      </w:r>
    </w:p>
    <w:p>
      <w:pPr>
        <w:pStyle w:val="Normal"/>
        <w:ind w:start="720" w:end="0"/>
        <w:jc w:val="both"/>
        <w:rPr/>
      </w:pPr>
      <w:r>
        <w:rPr>
          <w:b/>
          <w:sz w:val="22"/>
          <w:szCs w:val="22"/>
        </w:rPr>
        <w:t>ASSOCIATE ATTORNEY,</w:t>
      </w:r>
      <w:r>
        <w:rPr>
          <w:sz w:val="22"/>
          <w:szCs w:val="22"/>
        </w:rPr>
        <w:t xml:space="preserve"> Chevron U.S.A., Inc. (formerly Gulf Oil Corporation) New Orleans, LA.  3/82-5/87</w:t>
      </w:r>
    </w:p>
    <w:p>
      <w:pPr>
        <w:pStyle w:val="Normal"/>
        <w:numPr>
          <w:ilvl w:val="0"/>
          <w:numId w:val="3"/>
        </w:numPr>
        <w:jc w:val="both"/>
        <w:rPr>
          <w:sz w:val="22"/>
          <w:szCs w:val="22"/>
        </w:rPr>
      </w:pPr>
      <w:r>
        <w:rPr>
          <w:sz w:val="22"/>
          <w:szCs w:val="22"/>
        </w:rPr>
        <w:t>Responsible for analyzing, interpreting and complying with contractual obligations of Chevron inventory of producing and non-producing leases.</w:t>
      </w:r>
    </w:p>
    <w:p>
      <w:pPr>
        <w:pStyle w:val="Normal"/>
        <w:numPr>
          <w:ilvl w:val="0"/>
          <w:numId w:val="3"/>
        </w:numPr>
        <w:jc w:val="both"/>
        <w:rPr>
          <w:sz w:val="22"/>
          <w:szCs w:val="22"/>
        </w:rPr>
      </w:pPr>
      <w:r>
        <w:rPr>
          <w:sz w:val="22"/>
          <w:szCs w:val="22"/>
        </w:rPr>
        <w:t>Negotiated and drafted all types of onshore and offshore land contracts.</w:t>
      </w:r>
    </w:p>
    <w:p>
      <w:pPr>
        <w:pStyle w:val="Normal"/>
        <w:numPr>
          <w:ilvl w:val="0"/>
          <w:numId w:val="3"/>
        </w:numPr>
        <w:jc w:val="both"/>
        <w:rPr>
          <w:sz w:val="22"/>
          <w:szCs w:val="22"/>
        </w:rPr>
      </w:pPr>
      <w:r>
        <w:rPr>
          <w:sz w:val="22"/>
          <w:szCs w:val="22"/>
        </w:rPr>
        <w:t>Handled regulatory matters before the Minerals Management Service and State Mineral Board.</w:t>
      </w:r>
    </w:p>
    <w:p>
      <w:pPr>
        <w:pStyle w:val="Normal"/>
        <w:numPr>
          <w:ilvl w:val="0"/>
          <w:numId w:val="3"/>
        </w:numPr>
        <w:jc w:val="both"/>
        <w:rPr>
          <w:sz w:val="22"/>
          <w:szCs w:val="22"/>
        </w:rPr>
      </w:pPr>
      <w:r>
        <w:rPr>
          <w:sz w:val="22"/>
          <w:szCs w:val="22"/>
        </w:rPr>
        <w:t>Studied factors affecting alienability of corporate properties to combat a hostile takeover of Gulf Oil and to facilitate a friendly merger with Chevron.</w:t>
      </w:r>
    </w:p>
    <w:p>
      <w:pPr>
        <w:pStyle w:val="Normal"/>
        <w:numPr>
          <w:ilvl w:val="0"/>
          <w:numId w:val="3"/>
        </w:numPr>
        <w:jc w:val="both"/>
        <w:rPr>
          <w:sz w:val="22"/>
          <w:szCs w:val="22"/>
        </w:rPr>
      </w:pPr>
      <w:r>
        <w:rPr>
          <w:sz w:val="22"/>
          <w:szCs w:val="22"/>
        </w:rPr>
        <w:t>Member of 3-attorney transition team responsible for maintenance of Gulf Oil Corporation lease inventory following the merger with Chevron.</w:t>
      </w:r>
    </w:p>
    <w:p>
      <w:pPr>
        <w:pStyle w:val="Normal"/>
        <w:ind w:start="720" w:end="0"/>
        <w:jc w:val="both"/>
        <w:rPr>
          <w:sz w:val="22"/>
          <w:szCs w:val="22"/>
        </w:rPr>
      </w:pPr>
      <w:r>
        <w:rPr>
          <w:sz w:val="22"/>
          <w:szCs w:val="22"/>
        </w:rPr>
      </w:r>
    </w:p>
    <w:p>
      <w:pPr>
        <w:pStyle w:val="Normal"/>
        <w:ind w:start="720" w:end="0"/>
        <w:jc w:val="both"/>
        <w:rPr/>
      </w:pPr>
      <w:r>
        <w:rPr>
          <w:b/>
          <w:sz w:val="22"/>
          <w:szCs w:val="22"/>
        </w:rPr>
        <w:t xml:space="preserve">LAW CLERK, </w:t>
      </w:r>
      <w:r>
        <w:rPr>
          <w:sz w:val="22"/>
          <w:szCs w:val="22"/>
        </w:rPr>
        <w:t>Orleans Parish Criminal District Court, New Orleans, LA.  8/78-2/82</w:t>
      </w:r>
    </w:p>
    <w:p>
      <w:pPr>
        <w:pStyle w:val="Normal"/>
        <w:numPr>
          <w:ilvl w:val="0"/>
          <w:numId w:val="1"/>
        </w:numPr>
        <w:jc w:val="both"/>
        <w:rPr>
          <w:sz w:val="22"/>
          <w:szCs w:val="22"/>
        </w:rPr>
      </w:pPr>
      <w:r>
        <w:rPr>
          <w:sz w:val="22"/>
          <w:szCs w:val="22"/>
        </w:rPr>
        <w:t>Judge’s law clerk during law school.</w:t>
      </w:r>
    </w:p>
    <w:p>
      <w:pPr>
        <w:pStyle w:val="Normal"/>
        <w:jc w:val="both"/>
        <w:rPr>
          <w:sz w:val="22"/>
          <w:szCs w:val="22"/>
        </w:rPr>
      </w:pPr>
      <w:r>
        <w:rPr>
          <w:sz w:val="22"/>
          <w:szCs w:val="22"/>
        </w:rPr>
      </w:r>
    </w:p>
    <w:p>
      <w:pPr>
        <w:pStyle w:val="Normal"/>
        <w:jc w:val="both"/>
        <w:rPr/>
      </w:pPr>
      <w:r>
        <w:rPr>
          <w:b/>
          <w:sz w:val="22"/>
          <w:szCs w:val="22"/>
        </w:rPr>
        <w:t>EDUCATION:</w:t>
        <w:tab/>
        <w:tab/>
      </w:r>
      <w:r>
        <w:rPr>
          <w:bCs/>
          <w:sz w:val="22"/>
          <w:szCs w:val="22"/>
        </w:rPr>
        <w:t>Loyola University, New Orleans, LA.-</w:t>
        <w:tab/>
        <w:tab/>
        <w:t>Juris Doctor</w:t>
      </w:r>
    </w:p>
    <w:p>
      <w:pPr>
        <w:pStyle w:val="Normal"/>
        <w:jc w:val="both"/>
        <w:rPr>
          <w:bCs/>
          <w:sz w:val="22"/>
          <w:szCs w:val="22"/>
        </w:rPr>
      </w:pPr>
      <w:r>
        <w:rPr>
          <w:bCs/>
          <w:sz w:val="22"/>
          <w:szCs w:val="22"/>
        </w:rPr>
        <w:tab/>
        <w:tab/>
        <w:tab/>
        <w:t>University of South Florida, Tampa, FL.-</w:t>
        <w:tab/>
        <w:t>Bachelor of Arts</w:t>
      </w:r>
    </w:p>
    <w:p>
      <w:pPr>
        <w:pStyle w:val="Normal"/>
        <w:jc w:val="both"/>
        <w:rPr>
          <w:bCs/>
          <w:sz w:val="22"/>
          <w:szCs w:val="22"/>
        </w:rPr>
      </w:pPr>
      <w:r>
        <w:rPr>
          <w:bCs/>
          <w:sz w:val="22"/>
          <w:szCs w:val="22"/>
        </w:rPr>
      </w:r>
    </w:p>
    <w:p>
      <w:pPr>
        <w:pStyle w:val="Normal"/>
        <w:jc w:val="both"/>
        <w:rPr>
          <w:b/>
          <w:sz w:val="22"/>
          <w:szCs w:val="22"/>
        </w:rPr>
      </w:pPr>
      <w:r>
        <w:rPr>
          <w:b/>
          <w:sz w:val="22"/>
          <w:szCs w:val="22"/>
        </w:rPr>
        <w:t>PROFESSIONAL</w:t>
      </w:r>
    </w:p>
    <w:p>
      <w:pPr>
        <w:pStyle w:val="Normal"/>
        <w:jc w:val="both"/>
        <w:rPr/>
      </w:pPr>
      <w:r>
        <w:rPr>
          <w:b/>
          <w:sz w:val="22"/>
          <w:szCs w:val="22"/>
        </w:rPr>
        <w:t>AFFILIATIONS:</w:t>
        <w:tab/>
      </w:r>
      <w:r>
        <w:rPr>
          <w:sz w:val="22"/>
          <w:szCs w:val="22"/>
        </w:rPr>
        <w:t>Louisiana State Bar Association</w:t>
      </w:r>
    </w:p>
    <w:p>
      <w:pPr>
        <w:pStyle w:val="Normal"/>
        <w:jc w:val="both"/>
        <w:rPr>
          <w:sz w:val="22"/>
          <w:szCs w:val="22"/>
        </w:rPr>
      </w:pPr>
      <w:r>
        <w:rPr>
          <w:sz w:val="22"/>
          <w:szCs w:val="22"/>
        </w:rPr>
        <w:tab/>
        <w:tab/>
        <w:tab/>
        <w:t>Federal Energy Bar Association</w:t>
      </w:r>
    </w:p>
    <w:p>
      <w:pPr>
        <w:pStyle w:val="Normal"/>
        <w:jc w:val="both"/>
        <w:rPr>
          <w:b/>
          <w:sz w:val="22"/>
          <w:szCs w:val="22"/>
        </w:rPr>
      </w:pPr>
      <w:r>
        <w:rPr>
          <w:b/>
          <w:sz w:val="22"/>
          <w:szCs w:val="22"/>
        </w:rPr>
      </w:r>
    </w:p>
    <w:p>
      <w:pPr>
        <w:pStyle w:val="Normal"/>
        <w:jc w:val="both"/>
        <w:rPr>
          <w:b/>
          <w:sz w:val="22"/>
          <w:szCs w:val="22"/>
        </w:rPr>
      </w:pPr>
      <w:r>
        <w:rPr>
          <w:b/>
          <w:sz w:val="22"/>
          <w:szCs w:val="22"/>
        </w:rPr>
        <w:t>BOARD</w:t>
      </w:r>
    </w:p>
    <w:p>
      <w:pPr>
        <w:pStyle w:val="Normal"/>
        <w:jc w:val="both"/>
        <w:rPr/>
      </w:pPr>
      <w:r>
        <w:rPr>
          <w:b/>
          <w:sz w:val="22"/>
          <w:szCs w:val="22"/>
        </w:rPr>
        <w:t>MEMBERSHIP:</w:t>
      </w:r>
      <w:r>
        <w:rPr>
          <w:sz w:val="22"/>
          <w:szCs w:val="22"/>
        </w:rPr>
        <w:tab/>
        <w:t xml:space="preserve">Member, Board of Trustees, Western Systems Coordinating Council </w:t>
        <w:tab/>
      </w:r>
    </w:p>
    <w:p>
      <w:pPr>
        <w:pStyle w:val="Normal"/>
        <w:jc w:val="both"/>
        <w:rPr>
          <w:sz w:val="22"/>
          <w:szCs w:val="22"/>
        </w:rPr>
      </w:pPr>
      <w:r>
        <w:rPr>
          <w:sz w:val="22"/>
          <w:szCs w:val="22"/>
        </w:rPr>
        <w:tab/>
        <w:tab/>
        <w:tab/>
        <w:t>Former Director, Gas TransBoliviano S.A. (Bolivia-Brazil Pipeline)</w:t>
      </w:r>
    </w:p>
    <w:p>
      <w:pPr>
        <w:pStyle w:val="Normal"/>
        <w:jc w:val="both"/>
        <w:rPr>
          <w:sz w:val="22"/>
          <w:szCs w:val="22"/>
        </w:rPr>
      </w:pPr>
      <w:r>
        <w:rPr>
          <w:sz w:val="22"/>
          <w:szCs w:val="22"/>
        </w:rPr>
      </w:r>
    </w:p>
    <w:p>
      <w:pPr>
        <w:pStyle w:val="Normal"/>
        <w:ind w:hanging="2160" w:start="2160" w:end="0"/>
        <w:jc w:val="both"/>
        <w:rPr/>
      </w:pPr>
      <w:r>
        <w:rPr>
          <w:b/>
          <w:sz w:val="22"/>
          <w:szCs w:val="22"/>
        </w:rPr>
        <w:t>SKILLS:</w:t>
      </w:r>
      <w:r>
        <w:rPr>
          <w:sz w:val="22"/>
          <w:szCs w:val="22"/>
        </w:rPr>
        <w:tab/>
        <w:t>Fluency and mastery of Spanish necessary to practice law in the language; communication (although not entirely fluent) in Portuguese.</w:t>
      </w:r>
    </w:p>
    <w:p>
      <w:pPr>
        <w:pStyle w:val="Normal"/>
        <w:jc w:val="both"/>
        <w:rPr>
          <w:sz w:val="22"/>
          <w:szCs w:val="22"/>
        </w:rPr>
      </w:pPr>
      <w:r>
        <w:rPr>
          <w:sz w:val="22"/>
          <w:szCs w:val="22"/>
        </w:rPr>
      </w:r>
    </w:p>
    <w:p>
      <w:pPr>
        <w:pStyle w:val="Normal"/>
        <w:jc w:val="both"/>
        <w:rPr>
          <w:b/>
          <w:sz w:val="22"/>
          <w:szCs w:val="22"/>
        </w:rPr>
      </w:pPr>
      <w:r>
        <w:rPr>
          <w:b/>
          <w:sz w:val="22"/>
          <w:szCs w:val="22"/>
        </w:rPr>
        <w:t>REFERENCES:</w:t>
        <w:tab/>
      </w:r>
      <w:r>
        <w:rPr>
          <w:sz w:val="22"/>
          <w:szCs w:val="22"/>
        </w:rPr>
        <w:t>Available upon request.</w:t>
      </w:r>
    </w:p>
    <w:p>
      <w:pPr>
        <w:pStyle w:val="Normal"/>
        <w:jc w:val="both"/>
        <w:rPr>
          <w:b/>
          <w:sz w:val="22"/>
          <w:szCs w:val="22"/>
        </w:rPr>
      </w:pPr>
      <w:r>
        <w:rPr>
          <w:b/>
          <w:sz w:val="22"/>
          <w:szCs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Symbol" w:hAnsi="Symbol" w:cs="Symbol" w:hint="default"/>
      </w:r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szCs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2001-11-27T12:28:00Z</dcterms:created>
  <dc:creator>Ray Alvarez</dc:creator>
  <dc:description/>
  <dc:language>en-CA</dc:language>
  <cp:lastModifiedBy>ralvare2</cp:lastModifiedBy>
  <cp:lastPrinted>2001-11-14T15:04:00Z</cp:lastPrinted>
  <dcterms:modified xsi:type="dcterms:W3CDTF">2001-11-27T12:46:00Z</dcterms:modified>
  <cp:revision>4</cp:revision>
  <dc:subject/>
  <dc:title>Ray J</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204003087</vt:r8>
  </property>
  <property fmtid="{D5CDD505-2E9C-101B-9397-08002B2CF9AE}" pid="3" name="_AuthorEmail">
    <vt:lpwstr>rayalvarez1@home.com</vt:lpwstr>
  </property>
  <property fmtid="{D5CDD505-2E9C-101B-9397-08002B2CF9AE}" pid="4" name="_AuthorEmailDisplayName">
    <vt:lpwstr>Ray Alvarez</vt:lpwstr>
  </property>
  <property fmtid="{D5CDD505-2E9C-101B-9397-08002B2CF9AE}" pid="5" name="_EmailSubject">
    <vt:lpwstr/>
  </property>
</Properties>
</file>