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6960" w:leader="none"/>
        </w:tabs>
        <w:rPr/>
      </w:pPr>
      <w:r>
        <w:rPr/>
        <w:t>C. Garrison Cordell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tabs>
          <w:tab w:val="clear" w:pos="720"/>
          <w:tab w:val="left" w:pos="6840" w:leader="none"/>
        </w:tabs>
        <w:rPr>
          <w:b/>
          <w:bCs/>
          <w:sz w:val="22"/>
        </w:rPr>
      </w:pPr>
      <w:r>
        <w:rPr>
          <w:b/>
          <w:bCs/>
          <w:sz w:val="22"/>
          <w:u w:val="single"/>
        </w:rPr>
        <w:t>Home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>Office</w:t>
      </w:r>
    </w:p>
    <w:p>
      <w:pPr>
        <w:pStyle w:val="BodyText"/>
        <w:tabs>
          <w:tab w:val="clear" w:pos="7200"/>
          <w:tab w:val="left" w:pos="6840" w:leader="none"/>
        </w:tabs>
        <w:ind w:end="0"/>
        <w:rPr>
          <w:sz w:val="21"/>
        </w:rPr>
      </w:pPr>
      <w:r>
        <w:rPr>
          <w:sz w:val="21"/>
        </w:rPr>
        <w:t>2 Pine Grove Circle</w:t>
        <w:tab/>
        <w:t>5555 San Felipe, Suite 1100</w:t>
      </w:r>
    </w:p>
    <w:p>
      <w:pPr>
        <w:pStyle w:val="BodyText"/>
        <w:tabs>
          <w:tab w:val="clear" w:pos="7200"/>
          <w:tab w:val="left" w:pos="6840" w:leader="none"/>
        </w:tabs>
        <w:ind w:end="0"/>
        <w:rPr>
          <w:sz w:val="21"/>
        </w:rPr>
      </w:pPr>
      <w:r>
        <w:rPr>
          <w:sz w:val="21"/>
        </w:rPr>
        <w:t>Houston, Texas  77024</w:t>
        <w:tab/>
        <w:t>Houston, Texas  77056</w:t>
      </w:r>
    </w:p>
    <w:p>
      <w:pPr>
        <w:pStyle w:val="BodyText"/>
        <w:numPr>
          <w:ilvl w:val="2"/>
          <w:numId w:val="1"/>
        </w:numPr>
        <w:tabs>
          <w:tab w:val="clear" w:pos="7200"/>
          <w:tab w:val="left" w:pos="6840" w:leader="none"/>
        </w:tabs>
        <w:ind w:hanging="7200" w:start="7200" w:end="0"/>
        <w:rPr>
          <w:sz w:val="21"/>
        </w:rPr>
      </w:pPr>
      <w:r>
        <w:rPr>
          <w:sz w:val="21"/>
        </w:rPr>
        <w:t>713-622-8930</w:t>
      </w:r>
    </w:p>
    <w:p>
      <w:pPr>
        <w:pStyle w:val="BodyText"/>
        <w:tabs>
          <w:tab w:val="clear" w:pos="7200"/>
          <w:tab w:val="left" w:pos="6840" w:leader="none"/>
        </w:tabs>
        <w:ind w:end="0"/>
        <w:rPr>
          <w:color w:val="000000"/>
        </w:rPr>
      </w:pPr>
      <w:hyperlink r:id="rId2">
        <w:r>
          <w:rPr>
            <w:rStyle w:val="Hyperlink"/>
            <w:color w:val="000000"/>
          </w:rPr>
          <w:t>cgcordell@aol.com</w:t>
        </w:r>
      </w:hyperlink>
      <w:r>
        <w:rPr>
          <w:color w:val="000000"/>
        </w:rPr>
        <w:tab/>
      </w:r>
      <w:hyperlink r:id="rId3">
        <w:r>
          <w:rPr>
            <w:rStyle w:val="Hyperlink"/>
            <w:color w:val="000000"/>
          </w:rPr>
          <w:t>gcordell@hcceb.com</w:t>
        </w:r>
      </w:hyperlink>
    </w:p>
    <w:p>
      <w:pPr>
        <w:pStyle w:val="BodyText"/>
        <w:tabs>
          <w:tab w:val="clear" w:pos="7200"/>
          <w:tab w:val="left" w:pos="6840" w:leader="none"/>
        </w:tabs>
        <w:ind w:end="0"/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clear" w:pos="7200"/>
          <w:tab w:val="left" w:pos="6840" w:leader="none"/>
        </w:tabs>
        <w:ind w:end="0"/>
        <w:rPr>
          <w:color w:val="000000"/>
        </w:rPr>
      </w:pPr>
      <w:r>
        <w:rPr>
          <w:color w:val="000000"/>
        </w:rPr>
      </w:r>
    </w:p>
    <w:tbl>
      <w:tblPr>
        <w:tblW w:w="972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20"/>
      </w:tblGrid>
      <w:tr>
        <w:trPr>
          <w:trHeight w:val="100" w:hRule="atLeast"/>
        </w:trPr>
        <w:tc>
          <w:tcPr>
            <w:tcW w:w="9720" w:type="dxa"/>
            <w:tcBorders>
              <w:top w:val="single" w:sz="4" w:space="0" w:color="000000"/>
            </w:tcBorders>
          </w:tcPr>
          <w:p>
            <w:pPr>
              <w:pStyle w:val="BodyText"/>
              <w:snapToGrid w:val="false"/>
              <w:ind w:end="0"/>
              <w:rPr>
                <w:sz w:val="12"/>
                <w:u w:val="single"/>
              </w:rPr>
            </w:pPr>
            <w:r>
              <w:rPr>
                <w:sz w:val="12"/>
                <w:u w:val="single"/>
              </w:rPr>
            </w:r>
          </w:p>
        </w:tc>
      </w:tr>
    </w:tbl>
    <w:p>
      <w:pPr>
        <w:pStyle w:val="BodyText"/>
        <w:ind w:end="0"/>
        <w:rPr>
          <w:b w:val="false"/>
          <w:bCs w:val="false"/>
        </w:rPr>
      </w:pPr>
      <w:r>
        <w:rPr>
          <w:u w:val="single"/>
        </w:rPr>
        <w:t>Objective:</w:t>
      </w:r>
    </w:p>
    <w:p>
      <w:pPr>
        <w:pStyle w:val="BodyText"/>
        <w:ind w:end="0"/>
        <w:rPr>
          <w:b w:val="false"/>
          <w:bCs w:val="false"/>
        </w:rPr>
      </w:pPr>
      <w:r>
        <w:rPr>
          <w:b w:val="false"/>
          <w:bCs w:val="false"/>
        </w:rPr>
        <w:t>To utilize my talents, experience and education in finance, management and administration to create and enhance value in a dynamic business.</w:t>
      </w:r>
    </w:p>
    <w:p>
      <w:pPr>
        <w:pStyle w:val="BodyText"/>
        <w:ind w:end="0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tbl>
      <w:tblPr>
        <w:tblW w:w="972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20"/>
      </w:tblGrid>
      <w:tr>
        <w:trPr>
          <w:trHeight w:val="100" w:hRule="atLeast"/>
        </w:trPr>
        <w:tc>
          <w:tcPr>
            <w:tcW w:w="9720" w:type="dxa"/>
            <w:tcBorders>
              <w:top w:val="single" w:sz="4" w:space="0" w:color="000000"/>
            </w:tcBorders>
          </w:tcPr>
          <w:p>
            <w:pPr>
              <w:pStyle w:val="BodyText"/>
              <w:snapToGrid w:val="false"/>
              <w:ind w:end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BodyText"/>
        <w:ind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ind w:end="0"/>
        <w:rPr>
          <w:b w:val="false"/>
          <w:bCs w:val="false"/>
        </w:rPr>
      </w:pPr>
      <w:r>
        <w:rPr>
          <w:u w:val="single"/>
        </w:rPr>
        <w:t>Professional Experience:</w:t>
      </w:r>
    </w:p>
    <w:p>
      <w:pPr>
        <w:pStyle w:val="BodyText"/>
        <w:tabs>
          <w:tab w:val="left" w:pos="46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680" w:leader="none"/>
          <w:tab w:val="left" w:pos="7200" w:leader="none"/>
        </w:tabs>
        <w:ind w:end="0"/>
        <w:rPr/>
      </w:pPr>
      <w:r>
        <w:rPr/>
        <w:t>HCC Employee Benefits, Inc.</w:t>
      </w:r>
    </w:p>
    <w:p>
      <w:pPr>
        <w:pStyle w:val="BodyText"/>
        <w:tabs>
          <w:tab w:val="left" w:pos="480" w:leader="none"/>
          <w:tab w:val="left" w:pos="4320" w:leader="none"/>
          <w:tab w:val="left" w:pos="7200" w:leader="none"/>
        </w:tabs>
        <w:ind w:hanging="4680" w:start="4080" w:end="0"/>
        <w:rPr/>
      </w:pPr>
      <w:r>
        <w:rPr/>
        <w:tab/>
      </w:r>
      <w:r>
        <w:rPr>
          <w:b w:val="false"/>
          <w:bCs w:val="false"/>
        </w:rPr>
        <w:t>December 1998 – August 2001</w:t>
      </w:r>
      <w:r>
        <w:rPr/>
        <w:tab/>
      </w:r>
      <w:r>
        <w:rPr>
          <w:b w:val="false"/>
          <w:bCs w:val="false"/>
        </w:rPr>
        <w:t>Chief Operating Officer, HCC Employee Benefits, Inc.</w:t>
      </w:r>
    </w:p>
    <w:p>
      <w:pPr>
        <w:pStyle w:val="BodyText"/>
        <w:tabs>
          <w:tab w:val="left" w:pos="480" w:leader="none"/>
          <w:tab w:val="left" w:pos="432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320" w:leader="none"/>
          <w:tab w:val="left" w:pos="7200" w:leader="none"/>
        </w:tabs>
        <w:ind w:hanging="4680" w:start="4080" w:end="0"/>
        <w:jc w:val="both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u w:val="single"/>
        </w:rPr>
        <w:t xml:space="preserve">HCC Employee Benefits, Inc. </w:t>
      </w:r>
      <w:r>
        <w:rPr>
          <w:b w:val="false"/>
          <w:bCs w:val="false"/>
        </w:rPr>
        <w:t xml:space="preserve"> (“HCCEB”) is a brokerage and consulting company specializing in group medical and life insurance products and employee benefits consulting services.  HCCEB employed 42 people and had revenues of approximately $14 million in 2000.  Projected 2001 revenue is $23 million due to acquisition.  HCCEB is a subsidiary of HCC Insurance Holdings, Inc., a NYSE company.</w:t>
      </w:r>
    </w:p>
    <w:p>
      <w:pPr>
        <w:pStyle w:val="BodyText"/>
        <w:tabs>
          <w:tab w:val="left" w:pos="4320" w:leader="none"/>
          <w:tab w:val="left" w:pos="7200" w:leader="none"/>
        </w:tabs>
        <w:ind w:start="40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320" w:leader="none"/>
          <w:tab w:val="left" w:pos="7200" w:leader="none"/>
        </w:tabs>
        <w:ind w:start="4080" w:end="0"/>
        <w:jc w:val="both"/>
        <w:rPr>
          <w:b w:val="false"/>
          <w:bCs w:val="false"/>
        </w:rPr>
      </w:pPr>
      <w:r>
        <w:rPr>
          <w:b w:val="false"/>
          <w:bCs w:val="false"/>
        </w:rPr>
        <w:t>Responsible for financial reporting, accounting functions, treasury functions; annual budgets, human resources and systems management.</w:t>
      </w:r>
    </w:p>
    <w:p>
      <w:pPr>
        <w:pStyle w:val="BodyText"/>
        <w:tabs>
          <w:tab w:val="left" w:pos="46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680" w:leader="none"/>
          <w:tab w:val="left" w:pos="7200" w:leader="none"/>
        </w:tabs>
        <w:ind w:end="0"/>
        <w:rPr/>
      </w:pPr>
      <w:r>
        <w:rPr/>
        <w:t>The Galtney Group, Inc.</w:t>
        <w:tab/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end="0"/>
        <w:rPr/>
      </w:pPr>
      <w:r>
        <w:rPr/>
        <w:tab/>
      </w:r>
      <w:r>
        <w:rPr>
          <w:b w:val="false"/>
          <w:bCs w:val="false"/>
        </w:rPr>
        <w:t>October 1990 – June 1998</w:t>
        <w:tab/>
        <w:t>Chief Financial Officer, The Galtney Group, Inc.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start="4080" w:end="0"/>
        <w:jc w:val="both"/>
        <w:rPr/>
      </w:pPr>
      <w:r>
        <w:rPr>
          <w:b w:val="false"/>
          <w:bCs w:val="false"/>
          <w:u w:val="single"/>
        </w:rPr>
        <w:t>The Galtney Group</w:t>
      </w:r>
      <w:r>
        <w:rPr>
          <w:b w:val="false"/>
          <w:bCs w:val="false"/>
        </w:rPr>
        <w:t xml:space="preserve"> (“GGI”) is a group of companies providing a broad array of insurance related products and services to the healthcare industry.  GGI had total revenues in excess of $65 million and net income of $15 million in 1997.  The group of companies employed approximately 250 people in 1997.</w:t>
      </w:r>
    </w:p>
    <w:p>
      <w:pPr>
        <w:pStyle w:val="BodyText"/>
        <w:tabs>
          <w:tab w:val="left" w:pos="480" w:leader="none"/>
          <w:tab w:val="left" w:pos="4080" w:leader="none"/>
          <w:tab w:val="left" w:pos="46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  <w:tab/>
        <w:tab/>
      </w:r>
    </w:p>
    <w:p>
      <w:pPr>
        <w:pStyle w:val="BodyText"/>
        <w:numPr>
          <w:ilvl w:val="0"/>
          <w:numId w:val="2"/>
        </w:numPr>
        <w:tabs>
          <w:tab w:val="left" w:pos="480" w:leader="none"/>
          <w:tab w:val="left" w:pos="4080" w:leader="none"/>
          <w:tab w:val="left" w:pos="4680" w:leader="none"/>
          <w:tab w:val="left" w:pos="7200" w:leader="none"/>
        </w:tabs>
        <w:ind w:hanging="240" w:start="4680" w:end="0"/>
        <w:rPr>
          <w:b w:val="false"/>
          <w:bCs w:val="false"/>
        </w:rPr>
      </w:pPr>
      <w:r>
        <w:rPr>
          <w:b w:val="false"/>
          <w:bCs w:val="false"/>
        </w:rPr>
        <w:t>Structured $20 million Bank Credit Facility.</w:t>
      </w:r>
    </w:p>
    <w:p>
      <w:pPr>
        <w:pStyle w:val="BodyText"/>
        <w:numPr>
          <w:ilvl w:val="0"/>
          <w:numId w:val="2"/>
        </w:numPr>
        <w:tabs>
          <w:tab w:val="left" w:pos="480" w:leader="none"/>
          <w:tab w:val="left" w:pos="4080" w:leader="none"/>
          <w:tab w:val="left" w:pos="4680" w:leader="none"/>
          <w:tab w:val="left" w:pos="7200" w:leader="none"/>
        </w:tabs>
        <w:ind w:hanging="240" w:start="4680" w:end="0"/>
        <w:rPr>
          <w:b w:val="false"/>
          <w:bCs w:val="false"/>
        </w:rPr>
      </w:pPr>
      <w:r>
        <w:rPr>
          <w:b w:val="false"/>
          <w:bCs w:val="false"/>
        </w:rPr>
        <w:t>Private Placement of $10 million Series A Convertible Preferred Stock.</w:t>
      </w:r>
    </w:p>
    <w:p>
      <w:pPr>
        <w:pStyle w:val="BodyText"/>
        <w:numPr>
          <w:ilvl w:val="0"/>
          <w:numId w:val="2"/>
        </w:numPr>
        <w:tabs>
          <w:tab w:val="left" w:pos="480" w:leader="none"/>
          <w:tab w:val="left" w:pos="4080" w:leader="none"/>
          <w:tab w:val="left" w:pos="4680" w:leader="none"/>
          <w:tab w:val="left" w:pos="7200" w:leader="none"/>
        </w:tabs>
        <w:ind w:hanging="240" w:start="4680" w:end="0"/>
        <w:rPr>
          <w:b w:val="false"/>
          <w:bCs w:val="false"/>
        </w:rPr>
      </w:pPr>
      <w:r>
        <w:rPr>
          <w:b w:val="false"/>
          <w:bCs w:val="false"/>
        </w:rPr>
        <w:t>Negotiated and structured the sale of the insurance company operations in a transaction valued at $72.5 million.</w:t>
      </w:r>
    </w:p>
    <w:p>
      <w:pPr>
        <w:pStyle w:val="BodyText"/>
        <w:numPr>
          <w:ilvl w:val="0"/>
          <w:numId w:val="2"/>
        </w:numPr>
        <w:tabs>
          <w:tab w:val="left" w:pos="480" w:leader="none"/>
          <w:tab w:val="left" w:pos="4080" w:leader="none"/>
          <w:tab w:val="left" w:pos="4680" w:leader="none"/>
          <w:tab w:val="left" w:pos="7200" w:leader="none"/>
        </w:tabs>
        <w:ind w:hanging="240" w:start="4680" w:end="0"/>
        <w:rPr>
          <w:b w:val="false"/>
          <w:bCs w:val="false"/>
        </w:rPr>
      </w:pPr>
      <w:r>
        <w:rPr>
          <w:b w:val="false"/>
          <w:bCs w:val="false"/>
        </w:rPr>
        <w:t>Responsible for annual volume of $50 million of premium financing for GGI clients.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end="0"/>
        <w:rPr/>
      </w:pPr>
      <w:r>
        <w:rPr/>
        <w:t>C. GARRISON CORDELL</w:t>
      </w:r>
      <w:r>
        <w:rPr>
          <w:b w:val="false"/>
          <w:bCs w:val="false"/>
        </w:rPr>
        <w:tab/>
        <w:tab/>
        <w:tab/>
        <w:tab/>
        <w:t xml:space="preserve">  page 2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end="0"/>
        <w:rPr>
          <w:b w:val="false"/>
          <w:bCs w:val="false"/>
        </w:rPr>
      </w:pPr>
      <w:r>
        <w:rPr/>
        <w:t>The Galtney Group, Inc. (cont.)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  <w:tab/>
        <w:t>January 1994 – June 1998</w:t>
        <w:tab/>
        <w:t>President, Galtney Corporate Services, Inc.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start="4080" w:end="0"/>
        <w:jc w:val="both"/>
        <w:rPr/>
      </w:pPr>
      <w:r>
        <w:rPr>
          <w:b w:val="false"/>
          <w:bCs w:val="false"/>
          <w:u w:val="single"/>
        </w:rPr>
        <w:t>Galtney Corporate Services</w:t>
      </w:r>
      <w:r>
        <w:rPr>
          <w:b w:val="false"/>
          <w:bCs w:val="false"/>
        </w:rPr>
        <w:t xml:space="preserve"> (“GCS”) provides financial services, accounting and treasury functions, legal support, personnel, payroll, benefits and facilities management and other administrative services to the GGI group of companies.  35 employees; expense budget of $12 million in 1997.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end="0"/>
        <w:rPr/>
      </w:pPr>
      <w:r>
        <w:rPr/>
        <w:tab/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/>
      </w:pPr>
      <w:r>
        <w:rPr/>
        <w:tab/>
      </w:r>
      <w:r>
        <w:rPr>
          <w:b w:val="false"/>
          <w:bCs w:val="false"/>
        </w:rPr>
        <w:t>April 1989 – December 1993</w:t>
        <w:tab/>
        <w:t>Executive Vice President of Galtney Group Services, Inc.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start="4080" w:end="0"/>
        <w:rPr>
          <w:b w:val="false"/>
          <w:bCs w:val="false"/>
        </w:rPr>
      </w:pPr>
      <w:r>
        <w:rPr>
          <w:b w:val="false"/>
          <w:bCs w:val="false"/>
        </w:rPr>
        <w:t>Responsible for all administrative and financial functions.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end="0"/>
        <w:rPr/>
      </w:pPr>
      <w:r>
        <w:rPr/>
        <w:t>Bankers Trust Company of New York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/>
      </w:pPr>
      <w:r>
        <w:rPr/>
        <w:tab/>
      </w:r>
      <w:r>
        <w:rPr>
          <w:b w:val="false"/>
          <w:bCs w:val="false"/>
        </w:rPr>
        <w:t>August 1985 – April 1989</w:t>
        <w:tab/>
        <w:t>Vice President and Division Head, Southwest Energy – Corporate Finance Department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ab/>
        <w:t>Responsible for marketing a diversified range of wholesale commercial banking products and services to energy related clients and prospects in the southwestern United States.  Total commitments in excess of $1 billion.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/>
      </w:pPr>
      <w:r>
        <w:rPr/>
        <w:t>Mellon Bank, N.A.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/>
      </w:pPr>
      <w:r>
        <w:rPr/>
        <w:tab/>
      </w:r>
      <w:r>
        <w:rPr>
          <w:b w:val="false"/>
          <w:bCs w:val="false"/>
        </w:rPr>
        <w:t>January 1984 – August 1985</w:t>
        <w:tab/>
        <w:t>Vice President and Manager – Houston Office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National Banking Department.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  <w:tab/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>October 1980 – January 1984</w:t>
        <w:tab/>
        <w:t>Vice President and Relationship Manager for the southwestern United States.  National Banking Department, Houston, Texas.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320" w:end="0"/>
        <w:rPr>
          <w:b w:val="false"/>
          <w:bCs w:val="false"/>
        </w:rPr>
      </w:pPr>
      <w:r>
        <w:rPr>
          <w:b w:val="false"/>
          <w:bCs w:val="false"/>
        </w:rPr>
        <w:tab/>
        <w:t>August 1979 – October 1980</w:t>
        <w:tab/>
        <w:t>AVP and Relationship Manager for five state area.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32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National Banking Department, Pittsburgh, Pennsylvania.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>May 1978 – August 1979</w:t>
        <w:tab/>
        <w:t>Credit Officer, National Banking Department – Credit Division.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Managed a staff of 5 credit analysts.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>August 1975 – May 1978</w:t>
        <w:tab/>
        <w:t>Money Management Systems Division.  Designed and marketed cash management systems to Fortune 1000 companies.</w:t>
      </w:r>
      <w:r>
        <w:br w:type="page"/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/>
      </w:pPr>
      <w:r>
        <w:rPr/>
        <w:t>C. GARRISON CORDELL</w:t>
        <w:tab/>
        <w:tab/>
        <w:tab/>
        <w:tab/>
        <w:t xml:space="preserve">  </w:t>
      </w:r>
      <w:r>
        <w:rPr>
          <w:b w:val="false"/>
          <w:bCs w:val="false"/>
        </w:rPr>
        <w:t>page 3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u w:val="single"/>
        </w:rPr>
      </w:pPr>
      <w:r>
        <w:rPr>
          <w:u w:val="single"/>
        </w:rPr>
        <w:t>Education: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/>
      </w:pPr>
      <w:r>
        <w:rPr/>
        <w:tab/>
      </w:r>
      <w:r>
        <w:rPr>
          <w:b w:val="false"/>
          <w:bCs w:val="false"/>
        </w:rPr>
        <w:t>Graduate School</w:t>
        <w:tab/>
        <w:t>Northwestern University, Evanston, Illinois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Graduate School of Management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Major:  Financial/Accounting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Masters of Management; May 1975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>College</w:t>
        <w:tab/>
        <w:t>University of Alabama, Tuscaloosa, Alabama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Commerce &amp; Business Administration School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/>
      </w:pPr>
      <w:r>
        <w:rPr>
          <w:b w:val="false"/>
          <w:bCs w:val="false"/>
        </w:rPr>
        <w:tab/>
        <w:tab/>
        <w:t xml:space="preserve">BS Degree; </w:t>
      </w:r>
      <w:r>
        <w:rPr>
          <w:b w:val="false"/>
          <w:bCs w:val="false"/>
          <w:i/>
          <w:iCs/>
        </w:rPr>
        <w:t>Magna Cum Laude</w:t>
      </w:r>
      <w:r>
        <w:rPr>
          <w:b w:val="false"/>
          <w:bCs w:val="false"/>
        </w:rPr>
        <w:t>; May 1974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University of Texas, Austin, Texas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General Business Curriculum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August 1970 through December 1971</w:t>
      </w:r>
    </w:p>
    <w:p>
      <w:pPr>
        <w:pStyle w:val="BodyText"/>
        <w:tabs>
          <w:tab w:val="left" w:pos="480" w:leader="none"/>
          <w:tab w:val="left" w:pos="40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(3 semesters)</w:t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/>
      </w:pPr>
      <w:r>
        <w:rPr>
          <w:u w:val="single"/>
        </w:rPr>
        <w:t>Personal:</w:t>
      </w:r>
      <w:r>
        <w:rPr>
          <w:b w:val="false"/>
          <w:bCs w:val="false"/>
        </w:rPr>
        <w:tab/>
      </w:r>
    </w:p>
    <w:p>
      <w:pPr>
        <w:pStyle w:val="BodyText"/>
        <w:tabs>
          <w:tab w:val="left" w:pos="4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Married; 2 children</w:t>
      </w:r>
    </w:p>
    <w:p>
      <w:pPr>
        <w:pStyle w:val="BodyText"/>
        <w:tabs>
          <w:tab w:val="left" w:pos="4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Lynn S. Cordell (wife)</w:t>
      </w:r>
    </w:p>
    <w:p>
      <w:pPr>
        <w:pStyle w:val="BodyText"/>
        <w:tabs>
          <w:tab w:val="left" w:pos="4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Kimberly C. Cordell (20 years old)</w:t>
      </w:r>
    </w:p>
    <w:p>
      <w:pPr>
        <w:pStyle w:val="BodyText"/>
        <w:tabs>
          <w:tab w:val="left" w:pos="4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Kelly S. Cordell (18 years old)</w:t>
      </w:r>
    </w:p>
    <w:p>
      <w:pPr>
        <w:pStyle w:val="BodyText"/>
        <w:tabs>
          <w:tab w:val="left" w:pos="4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Church: Memorial Drive Presbyterian</w:t>
      </w:r>
    </w:p>
    <w:p>
      <w:pPr>
        <w:pStyle w:val="BodyText"/>
        <w:tabs>
          <w:tab w:val="left" w:pos="4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Member: Financial Executives Institute</w:t>
      </w:r>
    </w:p>
    <w:p>
      <w:pPr>
        <w:pStyle w:val="BodyText"/>
        <w:tabs>
          <w:tab w:val="left" w:pos="480" w:leader="none"/>
          <w:tab w:val="left" w:pos="7200" w:leader="none"/>
        </w:tabs>
        <w:ind w:hanging="4680" w:start="4080" w:end="0"/>
        <w:rPr>
          <w:b w:val="false"/>
          <w:bCs w:val="false"/>
        </w:rPr>
      </w:pPr>
      <w:r>
        <w:rPr>
          <w:b w:val="false"/>
          <w:bCs w:val="false"/>
        </w:rPr>
        <w:tab/>
        <w:tab/>
        <w:t>Hobbies: Golf, Reading</w:t>
      </w:r>
    </w:p>
    <w:p>
      <w:pPr>
        <w:pStyle w:val="BodyText"/>
        <w:tabs>
          <w:tab w:val="left" w:pos="480" w:leader="none"/>
          <w:tab w:val="left" w:pos="7200" w:leader="none"/>
        </w:tabs>
        <w:ind w:hanging="4680" w:start="432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tabs>
          <w:tab w:val="left" w:pos="480" w:leader="none"/>
          <w:tab w:val="left" w:pos="4680" w:leader="none"/>
          <w:tab w:val="left" w:pos="7200" w:leader="none"/>
        </w:tabs>
        <w:ind w:hanging="4680" w:start="4680" w:end="0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2240" w:h="15840"/>
      <w:pgMar w:left="1440" w:right="1440" w:gutter="0" w:header="0" w:top="1440" w:footer="0" w:bottom="114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13"/>
      <w:numFmt w:val="decimal"/>
      <w:lvlText w:val="%1"/>
      <w:lvlJc w:val="start"/>
      <w:pPr>
        <w:tabs>
          <w:tab w:val="num" w:pos="7200"/>
        </w:tabs>
        <w:ind w:start="7200" w:hanging="7200"/>
      </w:pPr>
      <w:rPr/>
    </w:lvl>
    <w:lvl w:ilvl="1">
      <w:start w:val="465"/>
      <w:numFmt w:val="decimal"/>
      <w:lvlText w:val="%1-%2"/>
      <w:lvlJc w:val="start"/>
      <w:pPr>
        <w:tabs>
          <w:tab w:val="num" w:pos="7200"/>
        </w:tabs>
        <w:ind w:start="7200" w:hanging="7200"/>
      </w:pPr>
      <w:rPr/>
    </w:lvl>
    <w:lvl w:ilvl="2">
      <w:start w:val="2388"/>
      <w:numFmt w:val="decimal"/>
      <w:lvlText w:val="%1-%2-%3"/>
      <w:lvlJc w:val="start"/>
      <w:pPr>
        <w:tabs>
          <w:tab w:val="num" w:pos="7200"/>
        </w:tabs>
        <w:ind w:start="7200" w:hanging="7200"/>
      </w:pPr>
      <w:rPr/>
    </w:lvl>
    <w:lvl w:ilvl="3">
      <w:start w:val="1"/>
      <w:numFmt w:val="decimal"/>
      <w:lvlText w:val="%1-%2-%3.%4"/>
      <w:lvlJc w:val="start"/>
      <w:pPr>
        <w:tabs>
          <w:tab w:val="num" w:pos="7200"/>
        </w:tabs>
        <w:ind w:start="7200" w:hanging="7200"/>
      </w:pPr>
      <w:rPr/>
    </w:lvl>
    <w:lvl w:ilvl="4">
      <w:start w:val="1"/>
      <w:numFmt w:val="decimal"/>
      <w:lvlText w:val="%1-%2-%3.%4.%5"/>
      <w:lvlJc w:val="start"/>
      <w:pPr>
        <w:tabs>
          <w:tab w:val="num" w:pos="7200"/>
        </w:tabs>
        <w:ind w:start="7200" w:hanging="7200"/>
      </w:pPr>
      <w:rPr/>
    </w:lvl>
    <w:lvl w:ilvl="5">
      <w:start w:val="1"/>
      <w:numFmt w:val="decimal"/>
      <w:lvlText w:val="%1-%2-%3.%4.%5.%6"/>
      <w:lvlJc w:val="start"/>
      <w:pPr>
        <w:tabs>
          <w:tab w:val="num" w:pos="7200"/>
        </w:tabs>
        <w:ind w:start="7200" w:hanging="7200"/>
      </w:pPr>
      <w:rPr/>
    </w:lvl>
    <w:lvl w:ilvl="6">
      <w:start w:val="1"/>
      <w:numFmt w:val="decimal"/>
      <w:lvlText w:val="%1-%2-%3.%4.%5.%6.%7"/>
      <w:lvlJc w:val="start"/>
      <w:pPr>
        <w:tabs>
          <w:tab w:val="num" w:pos="7200"/>
        </w:tabs>
        <w:ind w:start="7200" w:hanging="7200"/>
      </w:pPr>
      <w:rPr/>
    </w:lvl>
    <w:lvl w:ilvl="7">
      <w:start w:val="1"/>
      <w:numFmt w:val="decimal"/>
      <w:lvlText w:val="%1-%2-%3.%4.%5.%6.%7.%8"/>
      <w:lvlJc w:val="start"/>
      <w:pPr>
        <w:tabs>
          <w:tab w:val="num" w:pos="7200"/>
        </w:tabs>
        <w:ind w:start="7200" w:hanging="7200"/>
      </w:pPr>
      <w:rPr/>
    </w:lvl>
    <w:lvl w:ilvl="8">
      <w:start w:val="1"/>
      <w:numFmt w:val="decimal"/>
      <w:lvlText w:val="%1-%2-%3.%4.%5.%6.%7.%8.%9"/>
      <w:lvlJc w:val="start"/>
      <w:pPr>
        <w:tabs>
          <w:tab w:val="num" w:pos="7200"/>
        </w:tabs>
        <w:ind w:start="7200" w:hanging="720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tabs>
        <w:tab w:val="clear" w:pos="720"/>
        <w:tab w:val="left" w:pos="7200" w:leader="none"/>
      </w:tabs>
      <w:ind w:hanging="0" w:start="0" w:end="-720"/>
    </w:pPr>
    <w:rPr>
      <w:b/>
      <w:bCs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gcordell@aol.com" TargetMode="External"/><Relationship Id="rId3" Type="http://schemas.openxmlformats.org/officeDocument/2006/relationships/hyperlink" Target="mailto:gcordell@hcceb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2001-08-29T12:24:00Z</dcterms:created>
  <dc:creator>Susie Weigel</dc:creator>
  <dc:description/>
  <dc:language>en-CA</dc:language>
  <cp:lastModifiedBy>gcordell</cp:lastModifiedBy>
  <cp:lastPrinted>2001-08-14T14:50:00Z</cp:lastPrinted>
  <dcterms:modified xsi:type="dcterms:W3CDTF">2001-08-29T12:24:00Z</dcterms:modified>
  <cp:revision>2</cp:revision>
  <dc:subject/>
  <dc:title>C</dc:title>
</cp:coreProperties>
</file>