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sz w:val="30"/>
        </w:rPr>
      </w:pPr>
      <w:r>
        <w:rPr>
          <w:sz w:val="30"/>
        </w:rPr>
        <w:t>Dennis K. Brown</w:t>
      </w:r>
    </w:p>
    <w:p>
      <w:pPr>
        <w:pStyle w:val="Normal"/>
        <w:ind w:start="-90" w:end="54"/>
        <w:rPr/>
      </w:pPr>
      <w:r>
        <w:rPr/>
        <w:t>Home:  (281) 542-6939</w:t>
        <w:tab/>
        <w:t xml:space="preserve">          Business:  (713) 345-5050      </w:t>
        <w:tab/>
        <w:t xml:space="preserve">         Email:  Dennis.Brown@Enron.com</w:t>
      </w:r>
    </w:p>
    <w:p>
      <w:pPr>
        <w:pStyle w:val="Normal"/>
        <w:ind w:start="-90" w:end="54"/>
        <w:jc w:val="center"/>
        <w:rPr/>
      </w:pPr>
      <w:r>
        <w:rPr/>
        <w:t xml:space="preserve">__________________________________________________________________________________________________________                                                                           </w:t>
      </w:r>
    </w:p>
    <w:p>
      <w:pPr>
        <w:pStyle w:val="Normal"/>
        <w:ind w:start="-90" w:end="54"/>
        <w:jc w:val="center"/>
        <w:rPr>
          <w:b/>
          <w:u w:val="single"/>
        </w:rPr>
      </w:pPr>
      <w:r>
        <w:rPr>
          <w:b/>
          <w:u w:val="single"/>
        </w:rPr>
      </w:r>
    </w:p>
    <w:p>
      <w:pPr>
        <w:pStyle w:val="Normal"/>
        <w:ind w:start="-90" w:end="54"/>
        <w:jc w:val="center"/>
        <w:rPr>
          <w:b/>
          <w:u w:val="single"/>
        </w:rPr>
      </w:pPr>
      <w:r>
        <w:rPr>
          <w:b/>
          <w:u w:val="single"/>
        </w:rPr>
        <w:t>OBJECTIVE</w:t>
      </w:r>
    </w:p>
    <w:p>
      <w:pPr>
        <w:pStyle w:val="Normal"/>
        <w:ind w:start="-90" w:end="54"/>
        <w:jc w:val="center"/>
        <w:rPr>
          <w:b/>
          <w:u w:val="single"/>
        </w:rPr>
      </w:pPr>
      <w:r>
        <w:rPr>
          <w:b/>
          <w:u w:val="single"/>
        </w:rPr>
      </w:r>
    </w:p>
    <w:p>
      <w:pPr>
        <w:pStyle w:val="Normal"/>
        <w:ind w:start="-90" w:end="54"/>
        <w:rPr/>
      </w:pPr>
      <w:r>
        <w:rPr/>
        <w:t xml:space="preserve">I have a strong desire to learn trading.  I am looking for a position in trading that will allow me to leverage off of my energy knowledge base resulting from my close interaction with origination, structuring, and underwriting/pricing.  </w:t>
      </w:r>
    </w:p>
    <w:p>
      <w:pPr>
        <w:pStyle w:val="Normal"/>
        <w:ind w:start="-90" w:end="54"/>
        <w:jc w:val="center"/>
        <w:rPr>
          <w:b/>
          <w:u w:val="single"/>
        </w:rPr>
      </w:pPr>
      <w:r>
        <w:rPr>
          <w:b/>
          <w:u w:val="single"/>
        </w:rPr>
      </w:r>
    </w:p>
    <w:p>
      <w:pPr>
        <w:pStyle w:val="Normal"/>
        <w:ind w:start="-90" w:end="54"/>
        <w:jc w:val="center"/>
        <w:rPr>
          <w:b/>
          <w:u w:val="single"/>
        </w:rPr>
      </w:pPr>
      <w:r>
        <w:rPr>
          <w:b/>
          <w:u w:val="single"/>
        </w:rPr>
        <w:t>PROFESSIONAL EXPERIENCE</w:t>
      </w:r>
    </w:p>
    <w:p>
      <w:pPr>
        <w:pStyle w:val="Normal"/>
        <w:ind w:start="-90" w:end="54"/>
        <w:jc w:val="center"/>
        <w:rPr>
          <w:b/>
          <w:u w:val="single"/>
        </w:rPr>
      </w:pPr>
      <w:r>
        <w:rPr>
          <w:b/>
          <w:u w:val="single"/>
        </w:rPr>
      </w:r>
    </w:p>
    <w:p>
      <w:pPr>
        <w:pStyle w:val="Normal"/>
        <w:ind w:start="-90" w:end="54"/>
        <w:rPr/>
      </w:pPr>
      <w:r>
        <w:rPr>
          <w:b/>
          <w:sz w:val="22"/>
        </w:rPr>
        <w:t>Enron Energy Services</w:t>
      </w:r>
      <w:r>
        <w:rPr>
          <w:b/>
        </w:rPr>
        <w:t xml:space="preserve">, </w:t>
      </w:r>
      <w:r>
        <w:rPr/>
        <w:t xml:space="preserve">Large Bundled Transactions – Deal Structuring, Houston, Texas, (May 2000 to Present)  </w:t>
      </w:r>
    </w:p>
    <w:p>
      <w:pPr>
        <w:pStyle w:val="Normal"/>
        <w:ind w:start="-90" w:end="54"/>
        <w:rPr>
          <w:b/>
        </w:rPr>
      </w:pPr>
      <w:r>
        <w:rPr>
          <w:b/>
        </w:rPr>
      </w:r>
    </w:p>
    <w:p>
      <w:pPr>
        <w:pStyle w:val="Heading2"/>
        <w:rPr/>
      </w:pPr>
      <w:r>
        <w:rPr/>
        <w:t xml:space="preserve">Senior Specialist </w:t>
      </w:r>
      <w:r>
        <w:rPr>
          <w:b w:val="false"/>
        </w:rPr>
        <w:t xml:space="preserve">– Baseline Engineer </w:t>
      </w:r>
    </w:p>
    <w:p>
      <w:pPr>
        <w:pStyle w:val="Heading2"/>
        <w:rPr>
          <w:b w:val="false"/>
        </w:rPr>
      </w:pPr>
      <w:r>
        <w:rPr>
          <w:b w:val="false"/>
        </w:rPr>
      </w:r>
    </w:p>
    <w:p>
      <w:pPr>
        <w:pStyle w:val="Heading2"/>
        <w:numPr>
          <w:ilvl w:val="0"/>
          <w:numId w:val="4"/>
        </w:numPr>
        <w:ind w:hanging="360" w:start="630" w:end="54"/>
        <w:rPr>
          <w:b w:val="false"/>
          <w:u w:val="none"/>
        </w:rPr>
      </w:pPr>
      <w:r>
        <w:rPr>
          <w:b w:val="false"/>
          <w:u w:val="none"/>
        </w:rPr>
        <w:t>Lead due diligence for the pricing of large, complex bundled energy deals (excess of $40MM annual energy spend)</w:t>
      </w:r>
    </w:p>
    <w:p>
      <w:pPr>
        <w:pStyle w:val="Normal"/>
        <w:numPr>
          <w:ilvl w:val="0"/>
          <w:numId w:val="4"/>
        </w:numPr>
        <w:ind w:hanging="360" w:start="990" w:end="54"/>
        <w:rPr/>
      </w:pPr>
      <w:r>
        <w:rPr/>
        <w:t>Assist origination/structuring by giving insight as to: preliminary assessment of value; concentration of value by sites, region, commodity, and utility company; projected duration of due diligence; and client’s ability to provide quality data.</w:t>
      </w:r>
    </w:p>
    <w:p>
      <w:pPr>
        <w:pStyle w:val="Normal"/>
        <w:numPr>
          <w:ilvl w:val="0"/>
          <w:numId w:val="4"/>
        </w:numPr>
        <w:ind w:hanging="360" w:start="990" w:end="54"/>
        <w:rPr/>
      </w:pPr>
      <w:r>
        <w:rPr/>
        <w:t>Establish a basis of understanding with the client to accurately account for their unique spending patterns. Pitch value of baseline process to client in initial meetings.  Work closely with financial and operational leads of client.</w:t>
      </w:r>
    </w:p>
    <w:p>
      <w:pPr>
        <w:pStyle w:val="Normal"/>
        <w:numPr>
          <w:ilvl w:val="0"/>
          <w:numId w:val="2"/>
        </w:numPr>
        <w:ind w:hanging="360" w:start="990" w:end="0"/>
        <w:rPr/>
      </w:pPr>
      <w:r>
        <w:rPr/>
        <w:t>Identify, interpret, and analyze all financial data that is representative of the customer’s energy spend for a  targeted period including the cost of commodity, capital renewal, property operations, maintenance, and administration.</w:t>
      </w:r>
    </w:p>
    <w:p>
      <w:pPr>
        <w:pStyle w:val="Normal"/>
        <w:numPr>
          <w:ilvl w:val="0"/>
          <w:numId w:val="4"/>
        </w:numPr>
        <w:ind w:hanging="360" w:start="630" w:end="54"/>
        <w:rPr/>
      </w:pPr>
      <w:r>
        <w:rPr/>
        <w:t xml:space="preserve">Close interaction for duration of pre-contract and limited post contract activities with external customers and all internal teams needed to price the deal, execute the contract, and transition to servicing the contract (origination, various risk management desks, underwriting, legal, AIP, account management, and 3DR/bill data input). </w:t>
      </w:r>
    </w:p>
    <w:p>
      <w:pPr>
        <w:pStyle w:val="Normal"/>
        <w:numPr>
          <w:ilvl w:val="0"/>
          <w:numId w:val="4"/>
        </w:numPr>
        <w:ind w:hanging="360" w:start="630" w:end="54"/>
        <w:rPr/>
      </w:pPr>
      <w:r>
        <w:rPr>
          <w:i/>
        </w:rPr>
        <w:t>Accomplishments:</w:t>
      </w:r>
      <w:r>
        <w:rPr/>
        <w:t xml:space="preserve"> Identified and successfully pitched/negotiated an additional $7.2MM (NPVof 10yr term) of margin to a difficult client, Streamlined data collection efforts, assisted in setup of Access commodity database, assisted in development of excel tool for risk assessment of data quality, mentored new employees in Baseline procedures.</w:t>
      </w:r>
    </w:p>
    <w:p>
      <w:pPr>
        <w:pStyle w:val="Normal"/>
        <w:ind w:start="270" w:end="54"/>
        <w:rPr/>
      </w:pPr>
      <w:r>
        <w:rPr/>
      </w:r>
    </w:p>
    <w:p>
      <w:pPr>
        <w:pStyle w:val="Normal"/>
        <w:ind w:start="-90" w:end="54"/>
        <w:rPr/>
      </w:pPr>
      <w:r>
        <w:rPr>
          <w:b/>
          <w:sz w:val="22"/>
        </w:rPr>
        <w:t>Enron North America</w:t>
      </w:r>
      <w:r>
        <w:rPr>
          <w:b/>
        </w:rPr>
        <w:t xml:space="preserve">, </w:t>
      </w:r>
      <w:r>
        <w:rPr/>
        <w:t>Business Analysis and Reporting,</w:t>
      </w:r>
      <w:r>
        <w:rPr>
          <w:b/>
        </w:rPr>
        <w:t xml:space="preserve"> </w:t>
      </w:r>
      <w:r>
        <w:rPr/>
        <w:t>Houston, Texas, (April 1998 to May 2000)</w:t>
      </w:r>
    </w:p>
    <w:p>
      <w:pPr>
        <w:pStyle w:val="Normal"/>
        <w:ind w:start="-90" w:end="54"/>
        <w:rPr/>
      </w:pPr>
      <w:r>
        <w:rPr/>
      </w:r>
    </w:p>
    <w:p>
      <w:pPr>
        <w:pStyle w:val="Normal"/>
        <w:ind w:start="-90" w:end="0"/>
        <w:rPr/>
      </w:pPr>
      <w:r>
        <w:rPr>
          <w:b/>
        </w:rPr>
        <w:t xml:space="preserve">  </w:t>
      </w:r>
      <w:r>
        <w:rPr>
          <w:b/>
          <w:u w:val="single"/>
        </w:rPr>
        <w:t>Financial Specialist</w:t>
      </w:r>
    </w:p>
    <w:p>
      <w:pPr>
        <w:pStyle w:val="Normal"/>
        <w:ind w:start="-90" w:end="54"/>
        <w:rPr>
          <w:b/>
          <w:u w:val="single"/>
        </w:rPr>
      </w:pPr>
      <w:r>
        <w:rPr>
          <w:b/>
          <w:u w:val="single"/>
        </w:rPr>
      </w:r>
    </w:p>
    <w:p>
      <w:pPr>
        <w:pStyle w:val="Normal"/>
        <w:numPr>
          <w:ilvl w:val="0"/>
          <w:numId w:val="10"/>
        </w:numPr>
        <w:ind w:hanging="360" w:start="630" w:end="54"/>
        <w:rPr/>
      </w:pPr>
      <w:r>
        <w:rPr/>
        <w:t xml:space="preserve">Financial statement preparation in conjunction with outside audit services for unconsolidated sub of Enron Corp.  Specifically,  address issues with policies and procedures for the MTM modeling of structured credit investments </w:t>
      </w:r>
    </w:p>
    <w:p>
      <w:pPr>
        <w:pStyle w:val="Normal"/>
        <w:numPr>
          <w:ilvl w:val="0"/>
          <w:numId w:val="7"/>
        </w:numPr>
        <w:ind w:hanging="360" w:start="630" w:end="54"/>
        <w:rPr/>
      </w:pPr>
      <w:r>
        <w:rPr/>
        <w:t>Analyze/review the FV models used to evaluate the quarterly MTM of structured credit investments</w:t>
      </w:r>
    </w:p>
    <w:p>
      <w:pPr>
        <w:pStyle w:val="Normal"/>
        <w:numPr>
          <w:ilvl w:val="0"/>
          <w:numId w:val="11"/>
        </w:numPr>
        <w:ind w:hanging="360" w:start="630" w:end="54"/>
        <w:rPr/>
      </w:pPr>
      <w:r>
        <w:rPr/>
        <w:t>Review final deal documents to identify accounting and reporting issues, assist in set-up of legal structures, coordinate cash needs, and act as a liaison between commercial originators and financial reporting.</w:t>
      </w:r>
    </w:p>
    <w:p>
      <w:pPr>
        <w:pStyle w:val="Normal"/>
        <w:numPr>
          <w:ilvl w:val="0"/>
          <w:numId w:val="11"/>
        </w:numPr>
        <w:ind w:hanging="360" w:start="630" w:end="54"/>
        <w:rPr/>
      </w:pPr>
      <w:r>
        <w:rPr/>
        <w:t>Provide support to various outside departments: primarily focused on tax, treasury, and deal structuring, but also compliance, legal, and portfolio management.</w:t>
      </w:r>
    </w:p>
    <w:p>
      <w:pPr>
        <w:pStyle w:val="Normal"/>
        <w:numPr>
          <w:ilvl w:val="0"/>
          <w:numId w:val="10"/>
        </w:numPr>
        <w:ind w:hanging="360" w:start="630" w:end="54"/>
        <w:rPr/>
      </w:pPr>
      <w:r>
        <w:rPr/>
        <w:t xml:space="preserve">Manage the accounting and administration for a variety of high activity energy related investments including </w:t>
      </w:r>
    </w:p>
    <w:p>
      <w:pPr>
        <w:pStyle w:val="Normal"/>
        <w:ind w:firstLine="630" w:end="54"/>
        <w:rPr/>
      </w:pPr>
      <w:r>
        <w:rPr/>
        <w:t xml:space="preserve">consolidating reports for SPVs, fundings, cashflow forecasts, G/L entry, and credit compliance issues. </w:t>
      </w:r>
    </w:p>
    <w:p>
      <w:pPr>
        <w:pStyle w:val="Normal"/>
        <w:numPr>
          <w:ilvl w:val="0"/>
          <w:numId w:val="12"/>
        </w:numPr>
        <w:tabs>
          <w:tab w:val="clear" w:pos="720"/>
          <w:tab w:val="left" w:pos="360" w:leader="none"/>
        </w:tabs>
        <w:ind w:hanging="360" w:start="630" w:end="54"/>
        <w:rPr/>
      </w:pPr>
      <w:r>
        <w:rPr/>
        <w:t>Administer weekly and monthly activity report based upon our positions in a $1.9 billion portfolio of energy investments.</w:t>
      </w:r>
    </w:p>
    <w:p>
      <w:pPr>
        <w:pStyle w:val="Normal"/>
        <w:numPr>
          <w:ilvl w:val="0"/>
          <w:numId w:val="12"/>
        </w:numPr>
        <w:tabs>
          <w:tab w:val="clear" w:pos="720"/>
          <w:tab w:val="left" w:pos="360" w:leader="none"/>
        </w:tabs>
        <w:ind w:hanging="360" w:start="630" w:end="54"/>
        <w:rPr/>
      </w:pPr>
      <w:r>
        <w:rPr/>
        <w:t>Proactively interact with many different levels of people and consistently given highest review ratings in client relations, professionalism, and customer service.</w:t>
      </w:r>
    </w:p>
    <w:p>
      <w:pPr>
        <w:pStyle w:val="Normal"/>
        <w:numPr>
          <w:ilvl w:val="0"/>
          <w:numId w:val="9"/>
        </w:numPr>
        <w:tabs>
          <w:tab w:val="clear" w:pos="720"/>
          <w:tab w:val="left" w:pos="1080" w:leader="none"/>
        </w:tabs>
        <w:ind w:hanging="360" w:start="630" w:end="54"/>
        <w:rPr/>
      </w:pPr>
      <w:r>
        <w:rPr/>
        <w:t>Initiate/implement/market a website to track all news worthy events world-wide for all investments in our portfolio primarily as a tool for our originators and portfolio managers  (Formerly “MerchantFinanceWeekly.com”)</w:t>
      </w:r>
    </w:p>
    <w:p>
      <w:pPr>
        <w:pStyle w:val="Normal"/>
        <w:numPr>
          <w:ilvl w:val="0"/>
          <w:numId w:val="0"/>
        </w:numPr>
        <w:ind w:hanging="0" w:start="-90" w:end="54"/>
        <w:rPr/>
      </w:pPr>
      <w:r>
        <w:rPr/>
      </w:r>
    </w:p>
    <w:p>
      <w:pPr>
        <w:pStyle w:val="Normal"/>
        <w:numPr>
          <w:ilvl w:val="0"/>
          <w:numId w:val="0"/>
        </w:numPr>
        <w:ind w:hanging="0" w:start="-90" w:end="54"/>
        <w:rPr/>
      </w:pPr>
      <w:r>
        <w:rPr>
          <w:b/>
          <w:sz w:val="22"/>
        </w:rPr>
        <w:t>White Petrov McHone</w:t>
      </w:r>
      <w:r>
        <w:rPr>
          <w:b/>
        </w:rPr>
        <w:t>, A Professional Corp.,</w:t>
      </w:r>
      <w:r>
        <w:rPr/>
        <w:t xml:space="preserve"> Houston, Texas (a Regional Accounting Firm)</w:t>
      </w:r>
    </w:p>
    <w:p>
      <w:pPr>
        <w:pStyle w:val="Normal"/>
        <w:numPr>
          <w:ilvl w:val="0"/>
          <w:numId w:val="0"/>
        </w:numPr>
        <w:tabs>
          <w:tab w:val="clear" w:pos="720"/>
          <w:tab w:val="left" w:pos="0" w:leader="none"/>
        </w:tabs>
        <w:ind w:hanging="0" w:start="-90" w:end="54"/>
        <w:rPr>
          <w:b/>
        </w:rPr>
      </w:pPr>
      <w:r>
        <w:rPr>
          <w:b/>
        </w:rPr>
      </w:r>
    </w:p>
    <w:p>
      <w:pPr>
        <w:pStyle w:val="Normal"/>
        <w:numPr>
          <w:ilvl w:val="0"/>
          <w:numId w:val="0"/>
        </w:numPr>
        <w:tabs>
          <w:tab w:val="clear" w:pos="720"/>
          <w:tab w:val="left" w:pos="0" w:leader="none"/>
        </w:tabs>
        <w:ind w:hanging="0" w:start="-90" w:end="54"/>
        <w:rPr/>
      </w:pPr>
      <w:r>
        <w:rPr>
          <w:b/>
        </w:rPr>
        <w:t xml:space="preserve">  </w:t>
      </w:r>
      <w:r>
        <w:rPr>
          <w:b/>
          <w:u w:val="single"/>
        </w:rPr>
        <w:t>Staff II Accountant</w:t>
      </w:r>
      <w:r>
        <w:rPr>
          <w:b/>
        </w:rPr>
        <w:t xml:space="preserve"> </w:t>
      </w:r>
      <w:r>
        <w:rPr/>
        <w:t>(January 1996 to April 1998)</w:t>
      </w:r>
    </w:p>
    <w:p>
      <w:pPr>
        <w:pStyle w:val="Normal"/>
        <w:numPr>
          <w:ilvl w:val="0"/>
          <w:numId w:val="0"/>
        </w:numPr>
        <w:ind w:hanging="0" w:start="-90" w:end="54"/>
        <w:rPr/>
      </w:pPr>
      <w:r>
        <w:rPr/>
      </w:r>
    </w:p>
    <w:p>
      <w:pPr>
        <w:pStyle w:val="Normal"/>
        <w:numPr>
          <w:ilvl w:val="0"/>
          <w:numId w:val="10"/>
        </w:numPr>
        <w:ind w:hanging="360" w:start="630" w:end="54"/>
        <w:rPr/>
      </w:pPr>
      <w:r>
        <w:rPr/>
        <w:t>Audit-Lead-in-training for a client base including the energy, service and industry sectors</w:t>
      </w:r>
    </w:p>
    <w:p>
      <w:pPr>
        <w:pStyle w:val="Normal"/>
        <w:numPr>
          <w:ilvl w:val="0"/>
          <w:numId w:val="10"/>
        </w:numPr>
        <w:ind w:hanging="360" w:start="630" w:end="54"/>
        <w:rPr/>
      </w:pPr>
      <w:r>
        <w:rPr/>
        <w:t>Financial statements, report preparation, budgets, forecasts, and regression analysis</w:t>
      </w:r>
    </w:p>
    <w:p>
      <w:pPr>
        <w:pStyle w:val="Normal"/>
        <w:numPr>
          <w:ilvl w:val="0"/>
          <w:numId w:val="10"/>
        </w:numPr>
        <w:ind w:hanging="360" w:start="630" w:end="54"/>
        <w:rPr/>
      </w:pPr>
      <w:r>
        <w:rPr/>
        <w:t>Preparation of a wide variety of federal and state tax returns</w:t>
      </w:r>
    </w:p>
    <w:p>
      <w:pPr>
        <w:pStyle w:val="Normal"/>
        <w:numPr>
          <w:ilvl w:val="0"/>
          <w:numId w:val="10"/>
        </w:numPr>
        <w:ind w:hanging="360" w:start="630" w:end="54"/>
        <w:rPr/>
      </w:pPr>
      <w:r>
        <w:rPr/>
        <w:t>Campus recruiting and client relations</w:t>
      </w:r>
    </w:p>
    <w:p>
      <w:pPr>
        <w:pStyle w:val="Normal"/>
        <w:ind w:end="54"/>
        <w:rPr/>
      </w:pPr>
      <w:r>
        <w:rPr/>
      </w:r>
    </w:p>
    <w:p>
      <w:pPr>
        <w:pStyle w:val="Normal"/>
        <w:ind w:start="-90" w:end="54"/>
        <w:rPr/>
      </w:pPr>
      <w:r>
        <w:rPr/>
      </w:r>
    </w:p>
    <w:p>
      <w:pPr>
        <w:pStyle w:val="Normal"/>
        <w:ind w:start="-90" w:end="54"/>
        <w:jc w:val="center"/>
        <w:rPr>
          <w:b/>
          <w:u w:val="single"/>
        </w:rPr>
      </w:pPr>
      <w:r>
        <w:rPr>
          <w:b/>
          <w:u w:val="single"/>
        </w:rPr>
        <w:t>EDUCATION</w:t>
      </w:r>
    </w:p>
    <w:p>
      <w:pPr>
        <w:pStyle w:val="Normal"/>
        <w:ind w:start="-90" w:end="54"/>
        <w:rPr>
          <w:b/>
          <w:u w:val="single"/>
        </w:rPr>
      </w:pPr>
      <w:r>
        <w:rPr>
          <w:b/>
          <w:u w:val="single"/>
        </w:rPr>
      </w:r>
    </w:p>
    <w:p>
      <w:pPr>
        <w:pStyle w:val="Normal"/>
        <w:ind w:hanging="90" w:start="360" w:end="54"/>
        <w:rPr/>
      </w:pPr>
      <w:r>
        <w:rPr>
          <w:b/>
          <w:u w:val="single"/>
        </w:rPr>
        <w:t>Bachelor of Business Administration - Accounting</w:t>
      </w:r>
      <w:r>
        <w:rPr/>
        <w:t xml:space="preserve">  December 1995 </w:t>
      </w:r>
    </w:p>
    <w:p>
      <w:pPr>
        <w:pStyle w:val="Normal"/>
        <w:ind w:hanging="90" w:start="360" w:end="54"/>
        <w:rPr/>
      </w:pPr>
      <w:r>
        <w:rPr/>
        <w:t>Texas A&amp;M University, College Station, Texas</w:t>
      </w:r>
    </w:p>
    <w:p>
      <w:pPr>
        <w:pStyle w:val="Normal"/>
        <w:ind w:hanging="90" w:start="360" w:end="54"/>
        <w:rPr/>
      </w:pPr>
      <w:r>
        <w:rPr/>
      </w:r>
    </w:p>
    <w:p>
      <w:pPr>
        <w:pStyle w:val="Normal"/>
        <w:ind w:hanging="90" w:start="360" w:end="360"/>
        <w:jc w:val="center"/>
        <w:rPr>
          <w:b/>
          <w:u w:val="single"/>
        </w:rPr>
      </w:pPr>
      <w:r>
        <w:rPr>
          <w:b/>
          <w:u w:val="single"/>
        </w:rPr>
        <w:t>REFERENCES</w:t>
      </w:r>
    </w:p>
    <w:p>
      <w:pPr>
        <w:pStyle w:val="Normal"/>
        <w:ind w:hanging="90" w:start="360" w:end="360"/>
        <w:jc w:val="center"/>
        <w:rPr>
          <w:b/>
          <w:u w:val="single"/>
        </w:rPr>
      </w:pPr>
      <w:r>
        <w:rPr>
          <w:b/>
          <w:u w:val="single"/>
        </w:rPr>
      </w:r>
    </w:p>
    <w:p>
      <w:pPr>
        <w:pStyle w:val="Heading4"/>
        <w:rPr/>
      </w:pPr>
      <w:r>
        <w:rPr/>
        <w:t>Superiors</w:t>
      </w:r>
    </w:p>
    <w:p>
      <w:pPr>
        <w:pStyle w:val="Normal"/>
        <w:ind w:hanging="90" w:start="360" w:end="360"/>
        <w:jc w:val="center"/>
        <w:rPr>
          <w:b/>
          <w:u w:val="single"/>
        </w:rPr>
      </w:pPr>
      <w:r>
        <w:rPr>
          <w:b/>
          <w:u w:val="single"/>
        </w:rPr>
      </w:r>
    </w:p>
    <w:p>
      <w:pPr>
        <w:pStyle w:val="Normal"/>
        <w:numPr>
          <w:ilvl w:val="0"/>
          <w:numId w:val="8"/>
        </w:numPr>
        <w:tabs>
          <w:tab w:val="clear" w:pos="720"/>
          <w:tab w:val="left" w:pos="630" w:leader="none"/>
        </w:tabs>
        <w:ind w:hanging="360" w:start="630" w:end="360"/>
        <w:rPr/>
      </w:pPr>
      <w:r>
        <w:rPr/>
        <w:t>Erling Brakke – Enron Energy Services – Director  713-345-5047</w:t>
      </w:r>
    </w:p>
    <w:p>
      <w:pPr>
        <w:pStyle w:val="Normal"/>
        <w:numPr>
          <w:ilvl w:val="0"/>
          <w:numId w:val="8"/>
        </w:numPr>
        <w:tabs>
          <w:tab w:val="clear" w:pos="720"/>
          <w:tab w:val="left" w:pos="630" w:leader="none"/>
        </w:tabs>
        <w:ind w:hanging="360" w:start="630" w:end="360"/>
        <w:rPr/>
      </w:pPr>
      <w:r>
        <w:rPr/>
        <w:t>John Steffes – White Petrov McHone – Partner 713-790-3200</w:t>
      </w:r>
    </w:p>
    <w:p>
      <w:pPr>
        <w:pStyle w:val="Normal"/>
        <w:numPr>
          <w:ilvl w:val="0"/>
          <w:numId w:val="3"/>
        </w:numPr>
        <w:tabs>
          <w:tab w:val="clear" w:pos="720"/>
          <w:tab w:val="left" w:pos="630" w:leader="none"/>
        </w:tabs>
        <w:ind w:hanging="360" w:start="630" w:end="360"/>
        <w:rPr/>
      </w:pPr>
      <w:r>
        <w:rPr/>
        <w:t>David Leboe – Enron North America – Director 713-853-4785</w:t>
      </w:r>
    </w:p>
    <w:p>
      <w:pPr>
        <w:pStyle w:val="Normal"/>
        <w:ind w:end="360"/>
        <w:rPr/>
      </w:pPr>
      <w:r>
        <w:rPr/>
      </w:r>
    </w:p>
    <w:p>
      <w:pPr>
        <w:pStyle w:val="Normal"/>
        <w:ind w:start="270" w:end="360"/>
        <w:rPr/>
      </w:pPr>
      <w:r>
        <w:rPr>
          <w:b/>
        </w:rPr>
        <w:t>Peer</w:t>
      </w:r>
      <w:r>
        <w:rPr/>
        <w:t>s</w:t>
      </w:r>
    </w:p>
    <w:p>
      <w:pPr>
        <w:pStyle w:val="Normal"/>
        <w:ind w:start="270" w:end="360"/>
        <w:rPr/>
      </w:pPr>
      <w:r>
        <w:rPr/>
      </w:r>
    </w:p>
    <w:p>
      <w:pPr>
        <w:pStyle w:val="Normal"/>
        <w:numPr>
          <w:ilvl w:val="0"/>
          <w:numId w:val="6"/>
        </w:numPr>
        <w:tabs>
          <w:tab w:val="clear" w:pos="720"/>
          <w:tab w:val="left" w:pos="630" w:leader="none"/>
        </w:tabs>
        <w:ind w:hanging="360" w:start="630" w:end="360"/>
        <w:rPr/>
      </w:pPr>
      <w:r>
        <w:rPr/>
        <w:t>Travis Cotten – Enron Energy Services - Sr Spec - 713-345-5067</w:t>
      </w:r>
    </w:p>
    <w:p>
      <w:pPr>
        <w:pStyle w:val="Normal"/>
        <w:numPr>
          <w:ilvl w:val="0"/>
          <w:numId w:val="6"/>
        </w:numPr>
        <w:tabs>
          <w:tab w:val="clear" w:pos="720"/>
          <w:tab w:val="left" w:pos="630" w:leader="none"/>
        </w:tabs>
        <w:ind w:hanging="360" w:start="630" w:end="360"/>
        <w:rPr/>
      </w:pPr>
      <w:r>
        <w:rPr/>
        <w:t>Brad Atherton - Enron Energy Services - Sr Spec - 713-345-5185</w:t>
      </w:r>
    </w:p>
    <w:p>
      <w:pPr>
        <w:pStyle w:val="Normal"/>
        <w:numPr>
          <w:ilvl w:val="0"/>
          <w:numId w:val="5"/>
        </w:numPr>
        <w:tabs>
          <w:tab w:val="clear" w:pos="720"/>
          <w:tab w:val="left" w:pos="630" w:leader="none"/>
        </w:tabs>
        <w:ind w:hanging="360" w:start="630" w:end="360"/>
        <w:rPr/>
      </w:pPr>
      <w:r>
        <w:rPr/>
      </w:r>
    </w:p>
    <w:sectPr>
      <w:type w:val="nextPage"/>
      <w:pgSz w:w="12240" w:h="15840"/>
      <w:pgMar w:left="720" w:right="810" w:gutter="0" w:header="0" w:top="630" w:footer="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0" w:hanging="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bullet"/>
      <w:lvlText w:val=""/>
      <w:lvlJc w:val="start"/>
      <w:pPr>
        <w:tabs>
          <w:tab w:val="num" w:pos="360"/>
        </w:tabs>
        <w:ind w:start="0" w:hanging="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numFmt w:val="bullet"/>
      <w:lvlText w:val=""/>
      <w:lvlJc w:val="start"/>
      <w:pPr>
        <w:tabs>
          <w:tab w:val="num" w:pos="360"/>
        </w:tabs>
        <w:ind w:start="0" w:hanging="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numFmt w:val="bullet"/>
      <w:lvlText w:val=""/>
      <w:lvlJc w:val="start"/>
      <w:pPr>
        <w:tabs>
          <w:tab w:val="num" w:pos="360"/>
        </w:tabs>
        <w:ind w:start="0" w:hanging="0"/>
      </w:pPr>
      <w:rPr>
        <w:rFonts w:ascii="Symbol" w:hAnsi="Symbol" w:cs="Symbol" w:hint="default"/>
      </w:rPr>
    </w:lvl>
  </w:abstractNum>
  <w:abstractNum w:abstractNumId="10">
    <w:lvl w:ilvl="0">
      <w:numFmt w:val="bullet"/>
      <w:lvlText w:val=""/>
      <w:lvlJc w:val="start"/>
      <w:pPr>
        <w:tabs>
          <w:tab w:val="num" w:pos="360"/>
        </w:tabs>
        <w:ind w:start="0" w:hanging="0"/>
      </w:pPr>
      <w:rPr>
        <w:rFonts w:ascii="Symbol" w:hAnsi="Symbol" w:cs="Symbol" w:hint="default"/>
      </w:rPr>
    </w:lvl>
  </w:abstractNum>
  <w:abstractNum w:abstractNumId="11">
    <w:lvl w:ilvl="0">
      <w:numFmt w:val="bullet"/>
      <w:lvlText w:val=""/>
      <w:lvlJc w:val="start"/>
      <w:pPr>
        <w:tabs>
          <w:tab w:val="num" w:pos="0"/>
        </w:tabs>
        <w:ind w:start="0" w:hanging="0"/>
      </w:pPr>
      <w:rPr>
        <w:rFonts w:ascii="Symbol" w:hAnsi="Symbol" w:cs="Symbol" w:hint="default"/>
      </w:rPr>
    </w:lvl>
  </w:abstractNum>
  <w:abstractNum w:abstractNumId="12">
    <w:lvl w:ilvl="0">
      <w:numFmt w:val="bullet"/>
      <w:lvlText w:val=""/>
      <w:lvlJc w:val="start"/>
      <w:pPr>
        <w:tabs>
          <w:tab w:val="num" w:pos="360"/>
        </w:tabs>
        <w:ind w:start="63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90" w:start="360" w:end="360"/>
      <w:jc w:val="center"/>
      <w:outlineLvl w:val="0"/>
    </w:pPr>
    <w:rPr>
      <w:b/>
      <w:u w:val="single"/>
    </w:rPr>
  </w:style>
  <w:style w:type="paragraph" w:styleId="Heading2">
    <w:name w:val="heading 2"/>
    <w:basedOn w:val="Normal"/>
    <w:next w:val="Normal"/>
    <w:qFormat/>
    <w:pPr>
      <w:keepNext w:val="true"/>
      <w:numPr>
        <w:ilvl w:val="1"/>
        <w:numId w:val="1"/>
      </w:numPr>
      <w:ind w:hanging="0" w:start="-90" w:end="54"/>
      <w:outlineLvl w:val="1"/>
    </w:pPr>
    <w:rPr>
      <w:b/>
      <w:u w:val="single"/>
    </w:rPr>
  </w:style>
  <w:style w:type="paragraph" w:styleId="Heading3">
    <w:name w:val="heading 3"/>
    <w:basedOn w:val="Normal"/>
    <w:next w:val="Normal"/>
    <w:qFormat/>
    <w:pPr>
      <w:keepNext w:val="true"/>
      <w:numPr>
        <w:ilvl w:val="2"/>
        <w:numId w:val="1"/>
      </w:numPr>
      <w:ind w:hanging="0" w:start="-90" w:end="54"/>
      <w:outlineLvl w:val="2"/>
    </w:pPr>
    <w:rPr>
      <w:b/>
      <w:iCs/>
      <w:sz w:val="28"/>
    </w:rPr>
  </w:style>
  <w:style w:type="paragraph" w:styleId="Heading4">
    <w:name w:val="heading 4"/>
    <w:basedOn w:val="Normal"/>
    <w:next w:val="Normal"/>
    <w:qFormat/>
    <w:pPr>
      <w:keepNext w:val="true"/>
      <w:numPr>
        <w:ilvl w:val="3"/>
        <w:numId w:val="1"/>
      </w:numPr>
      <w:ind w:hanging="90" w:start="360" w:end="360"/>
      <w:outlineLvl w:val="3"/>
    </w:pPr>
    <w:rPr>
      <w: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WW8NumSt3z0">
    <w:name w:val="WW8NumSt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30" w:leader="none"/>
        <w:tab w:val="left" w:pos="990" w:leader="none"/>
      </w:tabs>
      <w:ind w:hanging="0" w:start="0" w:end="54"/>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1080" w:end="54"/>
    </w:pPr>
    <w:rPr>
      <w: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2001-07-02T15:27:00Z</dcterms:created>
  <dc:creator>foobar</dc:creator>
  <dc:description/>
  <dc:language>en-CA</dc:language>
  <cp:lastModifiedBy>Dennis Brown</cp:lastModifiedBy>
  <cp:lastPrinted>2001-06-11T15:18:00Z</cp:lastPrinted>
  <dcterms:modified xsi:type="dcterms:W3CDTF">2001-07-09T12:54:00Z</dcterms:modified>
  <cp:revision>4</cp:revision>
  <dc:subject/>
  <dc:title>Dennis Kevin Brown</dc:title>
</cp:coreProperties>
</file>