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.+" w:hAnsi=".+" w:cs=".+"/>
          <w:b/>
        </w:rPr>
      </w:pPr>
      <w:r>
        <w:rPr>
          <w:rFonts w:cs=".+" w:ascii=".+" w:hAnsi=".+"/>
          <w:b/>
        </w:rPr>
        <w:t>Mary J. Nordstrom</w:t>
      </w:r>
    </w:p>
    <w:p>
      <w:pPr>
        <w:pStyle w:val="Normal"/>
        <w:rPr>
          <w:sz w:val="24"/>
        </w:rPr>
      </w:pPr>
      <w:r>
        <w:rPr>
          <w:sz w:val="24"/>
        </w:rPr>
        <w:t>5118 Maple Hill Trl.</w:t>
        <w:tab/>
        <w:tab/>
        <w:tab/>
        <w:tab/>
        <w:tab/>
        <w:tab/>
        <w:t>Office:  713-345-3839</w:t>
      </w:r>
    </w:p>
    <w:p>
      <w:pPr>
        <w:pStyle w:val="Heading1"/>
        <w:ind w:hanging="0" w:start="0"/>
        <w:rPr/>
      </w:pPr>
      <w:r>
        <w:rPr/>
        <w:t>Kingwood, TX  77345</w:t>
        <w:tab/>
        <w:tab/>
        <w:tab/>
        <w:tab/>
        <w:tab/>
        <w:t>Home:  281-361-4969</w:t>
      </w:r>
    </w:p>
    <w:p>
      <w:pPr>
        <w:pStyle w:val="Normal"/>
        <w:pBdr>
          <w:bottom w:val="single" w:sz="12" w:space="1" w:color="000000"/>
        </w:pBdr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  <w:t>PROFILE:</w:t>
        <w:tab/>
        <w:t>Thirteen years experience in financial markets including interest rate derivatives, energy, and equities.  A solid background in risk management.  Strong quantitative and communication skills.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EXPERIENCE:</w:t>
        <w:tab/>
      </w:r>
      <w:r>
        <w:rPr>
          <w:b/>
          <w:bCs/>
          <w:sz w:val="24"/>
        </w:rPr>
        <w:t>DIRECTOR OF MARKET RISK</w:t>
        <w:tab/>
        <w:tab/>
        <w:tab/>
      </w:r>
      <w:r>
        <w:rPr>
          <w:sz w:val="24"/>
        </w:rPr>
        <w:t>2001 - Present</w:t>
      </w:r>
    </w:p>
    <w:p>
      <w:pPr>
        <w:pStyle w:val="Heading1"/>
        <w:ind w:hanging="0" w:start="0"/>
        <w:rPr/>
      </w:pPr>
      <w:r>
        <w:rPr/>
        <w:tab/>
        <w:tab/>
        <w:tab/>
      </w:r>
      <w:r>
        <w:rPr>
          <w:b/>
          <w:bCs/>
        </w:rPr>
        <w:t>Interest Rates/Foreign Exchange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ENRON CORP.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720" w:start="216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Responsible for assessing market risk of Interest Rate/Foreign Exchange trading desk and Equity/Convertible Bond internal hedge fund.</w:t>
      </w:r>
    </w:p>
    <w:p>
      <w:pPr>
        <w:pStyle w:val="BodyTextIndent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Implemented Excel-based VaR model using an HJM approach for IRFX exposures.</w:t>
        <w:tab/>
      </w:r>
    </w:p>
    <w:p>
      <w:pPr>
        <w:pStyle w:val="Normal"/>
        <w:ind w:hanging="720" w:start="216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Aided in market risk policy development for trading portfolios.</w:t>
      </w:r>
    </w:p>
    <w:p>
      <w:pPr>
        <w:pStyle w:val="Normal"/>
        <w:ind w:hanging="720" w:start="216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</w:r>
      <w:r>
        <w:rPr>
          <w:sz w:val="24"/>
          <w:u w:val="single"/>
        </w:rPr>
        <w:t>Chief Risk Officer</w:t>
      </w:r>
      <w:r>
        <w:rPr>
          <w:sz w:val="24"/>
        </w:rPr>
        <w:t xml:space="preserve"> for </w:t>
      </w:r>
      <w:r>
        <w:rPr>
          <w:i/>
          <w:iCs/>
          <w:sz w:val="24"/>
        </w:rPr>
        <w:t xml:space="preserve">Enovate </w:t>
      </w:r>
      <w:r>
        <w:rPr>
          <w:sz w:val="24"/>
        </w:rPr>
        <w:t>(JV:  Enron and Peoples Energy).</w:t>
      </w:r>
    </w:p>
    <w:p>
      <w:pPr>
        <w:pStyle w:val="Normal"/>
        <w:ind w:hanging="720" w:start="216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Review proprietary pricing models.</w:t>
      </w:r>
    </w:p>
    <w:p>
      <w:pPr>
        <w:pStyle w:val="Normal"/>
        <w:ind w:hanging="720" w:start="216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RISK MANAGER</w:t>
      </w:r>
    </w:p>
    <w:p>
      <w:pPr>
        <w:pStyle w:val="Heading2"/>
        <w:ind w:firstLine="720" w:start="1440" w:end="0"/>
        <w:jc w:val="start"/>
        <w:rPr/>
      </w:pPr>
      <w:r>
        <w:rPr/>
        <w:t>PEOPLES ENERGY</w:t>
        <w:tab/>
        <w:tab/>
        <w:tab/>
        <w:tab/>
        <w:tab/>
        <w:t>2000 –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Executed natural gas trades for hedge positions.</w:t>
      </w:r>
    </w:p>
    <w:p>
      <w:pPr>
        <w:pStyle w:val="Normal"/>
        <w:ind w:hanging="720" w:start="216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 xml:space="preserve">Performed market risk analytics of corporate business lines. </w:t>
        <w:tab/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 xml:space="preserve">Developed trading plans for hedging programs. </w:t>
      </w:r>
    </w:p>
    <w:p>
      <w:pPr>
        <w:pStyle w:val="Normal"/>
        <w:ind w:firstLine="720" w:start="72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 xml:space="preserve">Risk Manager for </w:t>
      </w:r>
      <w:r>
        <w:rPr>
          <w:i/>
          <w:iCs/>
          <w:sz w:val="24"/>
        </w:rPr>
        <w:t>Enovate</w:t>
      </w:r>
      <w:r>
        <w:rPr>
          <w:sz w:val="24"/>
        </w:rPr>
        <w:t xml:space="preserve"> (JV:  Enron and Peoples Energy).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b/>
          <w:sz w:val="24"/>
        </w:rPr>
        <w:t>SENIOR FINANCIAL MARKETS ANALYST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FEDERAL RESERVE BANK OF CHICAGO</w:t>
        <w:tab/>
        <w:t>1995 –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Identified key risks in interest rate portfolios.</w:t>
      </w:r>
    </w:p>
    <w:p>
      <w:pPr>
        <w:pStyle w:val="Normal"/>
        <w:ind w:hanging="720" w:start="216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Analyzed trading environments including proprietary models used to price and hedge complex derivatives.</w:t>
      </w:r>
    </w:p>
    <w:p>
      <w:pPr>
        <w:pStyle w:val="Normal"/>
        <w:ind w:hanging="720" w:start="216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Evaluated market risk management programs used at various financial institutions.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b/>
          <w:sz w:val="24"/>
        </w:rPr>
        <w:t>ADVISORY ECONOMIST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CHICAGO BOARD OF TRADE</w:t>
        <w:tab/>
        <w:tab/>
        <w:tab/>
        <w:t>1991 – 1995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720" w:start="216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Analyzed hedge performance of Long-Bond Futures contract.</w:t>
      </w:r>
    </w:p>
    <w:p>
      <w:pPr>
        <w:pStyle w:val="Normal"/>
        <w:ind w:hanging="720" w:start="216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Advised senior management on the impact of changes to existing futures and option contracts.</w:t>
      </w:r>
    </w:p>
    <w:p>
      <w:pPr>
        <w:pStyle w:val="Normal"/>
        <w:ind w:hanging="720" w:start="216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Developed marketing strategies to hedge Latin American debt instruments using Chicago Board of Trade products.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b/>
          <w:sz w:val="24"/>
        </w:rPr>
        <w:t>ECONOMIC ANALYST</w:t>
      </w:r>
      <w:r>
        <w:rPr>
          <w:sz w:val="24"/>
        </w:rPr>
        <w:t xml:space="preserve"> – Summer Internship</w:t>
        <w:tab/>
        <w:tab/>
        <w:t>1990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NAVISTAR INTERNATIONAL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720" w:start="216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Aided strategic planning by developing a proprietary econometric model used to predict heavy duty truck demand.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b/>
          <w:sz w:val="24"/>
        </w:rPr>
        <w:t>SECURITIES ANALYST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PERRITT INVESTMENTS</w:t>
        <w:tab/>
        <w:tab/>
        <w:tab/>
        <w:tab/>
        <w:t>1986 – 1988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</w: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Analyzed low equity capitalization securities.</w:t>
      </w:r>
    </w:p>
    <w:p>
      <w:pPr>
        <w:pStyle w:val="Normal"/>
        <w:ind w:hanging="720" w:start="2160" w:end="0"/>
        <w:rPr/>
      </w:pPr>
      <w:r>
        <w:rPr>
          <w:rFonts w:eastAsia="Symbol" w:cs="Symbol" w:ascii="Symbol" w:hAnsi="Symbol"/>
          <w:sz w:val="24"/>
        </w:rPr>
        <w:sym w:font="Symbol" w:char="f0b7"/>
      </w:r>
      <w:r>
        <w:rPr>
          <w:sz w:val="24"/>
        </w:rPr>
        <w:tab/>
        <w:t>Assisted in the maintenance of recommended stock and mutual fund portfolios for managed accounts.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EDUCATION:</w:t>
        <w:tab/>
      </w:r>
      <w:r>
        <w:rPr>
          <w:b/>
          <w:sz w:val="24"/>
        </w:rPr>
        <w:t>University of Chicago</w:t>
      </w:r>
      <w:r>
        <w:rPr>
          <w:sz w:val="24"/>
        </w:rPr>
        <w:tab/>
        <w:tab/>
        <w:tab/>
        <w:tab/>
        <w:tab/>
        <w:t>1996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M.B.A., Finance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  <w:tab/>
      </w:r>
      <w:r>
        <w:rPr>
          <w:b/>
          <w:sz w:val="24"/>
        </w:rPr>
        <w:t>University of Illinois at Chicago</w:t>
      </w:r>
      <w:r>
        <w:rPr>
          <w:sz w:val="24"/>
        </w:rPr>
        <w:tab/>
        <w:tab/>
        <w:tab/>
        <w:tab/>
        <w:t>1991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>M.A., Economics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Winner of 1991 Award for Top Graduate Work in Economics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1440" w:end="0"/>
        <w:rPr/>
      </w:pPr>
      <w:r>
        <w:rPr>
          <w:b/>
          <w:sz w:val="24"/>
        </w:rPr>
        <w:t>University of Illinois at Chicago</w:t>
      </w:r>
      <w:r>
        <w:rPr>
          <w:sz w:val="24"/>
        </w:rPr>
        <w:tab/>
        <w:tab/>
        <w:tab/>
        <w:tab/>
        <w:t>1986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  <w:t>B.S. Statistics and Operations Research</w:t>
      </w:r>
    </w:p>
    <w:p>
      <w:pPr>
        <w:pStyle w:val="Normal"/>
        <w:ind w:firstLine="720" w:start="1440" w:end="0"/>
        <w:rPr>
          <w:sz w:val="24"/>
        </w:rPr>
      </w:pPr>
      <w:r>
        <w:rPr>
          <w:sz w:val="24"/>
        </w:rPr>
      </w:r>
    </w:p>
    <w:p>
      <w:pPr>
        <w:pStyle w:val="Normal"/>
        <w:ind w:hanging="2160" w:start="2160" w:end="0"/>
        <w:rPr/>
      </w:pPr>
      <w:r>
        <w:rPr>
          <w:sz w:val="24"/>
        </w:rPr>
        <w:t>PUBLICATIONS:</w:t>
        <w:tab/>
        <w:t xml:space="preserve">“Weather Insurance:  The People’s Choice”, </w:t>
      </w:r>
      <w:r>
        <w:rPr>
          <w:i/>
          <w:iCs/>
          <w:sz w:val="24"/>
        </w:rPr>
        <w:t>Risk</w:t>
      </w:r>
      <w:r>
        <w:rPr>
          <w:sz w:val="24"/>
        </w:rPr>
        <w:t>, March 2001</w:t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</w:r>
    </w:p>
    <w:p>
      <w:pPr>
        <w:pStyle w:val="Normal"/>
        <w:ind w:start="2160" w:end="0"/>
        <w:rPr/>
      </w:pPr>
      <w:r>
        <w:rPr>
          <w:i/>
          <w:sz w:val="24"/>
        </w:rPr>
        <w:t>The Unique Risks of Emerging Markets Investments:  A Perspective on Latin America</w:t>
      </w:r>
      <w:r>
        <w:rPr>
          <w:sz w:val="24"/>
        </w:rPr>
        <w:t>, Federal Reserve Bank of Chicago, December 1996</w:t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</w:r>
    </w:p>
    <w:p>
      <w:pPr>
        <w:pStyle w:val="Normal"/>
        <w:ind w:hanging="2160" w:start="2160" w:end="0"/>
        <w:rPr/>
      </w:pPr>
      <w:r>
        <w:rPr>
          <w:sz w:val="24"/>
        </w:rPr>
        <w:tab/>
      </w:r>
      <w:r>
        <w:rPr>
          <w:i/>
          <w:sz w:val="24"/>
        </w:rPr>
        <w:t>Energy Derivatives</w:t>
      </w:r>
      <w:r>
        <w:rPr>
          <w:sz w:val="24"/>
        </w:rPr>
        <w:t>, Federal Reserve Bank of Chicago, December 1995</w:t>
      </w:r>
    </w:p>
    <w:p>
      <w:pPr>
        <w:pStyle w:val="Normal"/>
        <w:ind w:hanging="2160" w:start="2160" w:end="0"/>
        <w:rPr>
          <w:sz w:val="24"/>
        </w:rPr>
      </w:pPr>
      <w:r>
        <w:rPr>
          <w:sz w:val="24"/>
        </w:rPr>
      </w:r>
    </w:p>
    <w:p>
      <w:pPr>
        <w:pStyle w:val="Normal"/>
        <w:ind w:hanging="2160" w:start="2160" w:end="0"/>
        <w:rPr/>
      </w:pPr>
      <w:r>
        <w:rPr>
          <w:sz w:val="24"/>
        </w:rPr>
        <w:tab/>
        <w:t xml:space="preserve">“Bracing Your Bradys”, </w:t>
      </w:r>
      <w:r>
        <w:rPr>
          <w:i/>
          <w:sz w:val="24"/>
        </w:rPr>
        <w:t>Emerging Markets Investor</w:t>
      </w:r>
      <w:r>
        <w:rPr>
          <w:sz w:val="24"/>
        </w:rPr>
        <w:t xml:space="preserve">, November 1994 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.+"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2160" w:end="0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2001-11-08T15:45:00Z</dcterms:created>
  <dc:creator>PeterValiunas&amp;MaryNordström</dc:creator>
  <dc:description/>
  <dc:language>en-CA</dc:language>
  <cp:lastModifiedBy>mnordst2</cp:lastModifiedBy>
  <cp:lastPrinted>2001-11-08T12:53:00Z</cp:lastPrinted>
  <dcterms:modified xsi:type="dcterms:W3CDTF">2001-11-26T14:05:00Z</dcterms:modified>
  <cp:revision>18</cp:revision>
  <dc:subject/>
  <dc:title>Mary J</dc:title>
</cp:coreProperties>
</file>