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Results of German Power Sector Mergers</w:t>
      </w:r>
    </w:p>
    <w:p>
      <w:pPr>
        <w:pStyle w:val="Normal"/>
        <w:rPr/>
      </w:pPr>
      <w:r>
        <w:rPr/>
      </w:r>
    </w:p>
    <w:p>
      <w:pPr>
        <w:pStyle w:val="Heading2"/>
        <w:ind w:hanging="0" w:start="0"/>
        <w:rPr/>
      </w:pPr>
      <w:r>
        <w:rPr/>
        <w:t>Background</w:t>
      </w:r>
    </w:p>
    <w:p>
      <w:pPr>
        <w:pStyle w:val="Normal"/>
        <w:rPr/>
      </w:pPr>
      <w:r>
        <w:rPr/>
        <w:t xml:space="preserve">As you aware, four of the leading German electricity utilities announced, in October of 1999, their intention to merge into two companies. The merger of Veba (parent company of Preussen Elektra) and Viag (parent company of Bayernwerk) is being handled by the Merger Task Force (MTF) of the European Commission in Brussels. The merger of RWE and VEW, in contrast, has fallen under the jurisdiction of the German Federal Cartel Office (FCO) in Bonn. </w:t>
      </w:r>
    </w:p>
    <w:p>
      <w:pPr>
        <w:pStyle w:val="Normal"/>
        <w:rPr/>
      </w:pPr>
      <w:r>
        <w:rPr/>
      </w:r>
    </w:p>
    <w:p>
      <w:pPr>
        <w:pStyle w:val="Normal"/>
        <w:rPr/>
      </w:pPr>
      <w:r>
        <w:rPr/>
        <w:t>Enron has been actively involved in providing the two competition authorities with economic analyses detailing the various competitive problems that would emerge should these two mergers be approved without significant conditions attached.  Because of the substantial political support the merging companies enjoy in Germany (the Minister of Economy is ex-Veba) it was considered utopian to believe the mergers themselves could actually be blocked. Indeed, the Minister himself declared that he would veto any decision from the FCO to block the merger.  Therefore, Enron determined that the best course of action was to seek the maximum remedies possible to enhance market openness in the German market.</w:t>
      </w:r>
    </w:p>
    <w:p>
      <w:pPr>
        <w:pStyle w:val="Normal"/>
        <w:rPr/>
      </w:pPr>
      <w:r>
        <w:rPr/>
      </w:r>
    </w:p>
    <w:p>
      <w:pPr>
        <w:pStyle w:val="Heading2"/>
        <w:ind w:hanging="0" w:start="0"/>
        <w:rPr/>
      </w:pPr>
      <w:r>
        <w:rPr/>
        <w:t>Analysis of Mergers</w:t>
      </w:r>
    </w:p>
    <w:p>
      <w:pPr>
        <w:pStyle w:val="Normal"/>
        <w:rPr/>
      </w:pPr>
      <w:r>
        <w:rPr/>
        <w:t>In April, 2000 the two competition authorities – in close co-ordination – released their reports on the potential anti-competitive impacts of the merger. Their principal findings  - which drew heavily from analysis undertaken by Enron and our economic consultants, the Brattle Group - were:</w:t>
      </w:r>
    </w:p>
    <w:p>
      <w:pPr>
        <w:pStyle w:val="Normal"/>
        <w:rPr/>
      </w:pPr>
      <w:r>
        <w:rPr/>
      </w:r>
    </w:p>
    <w:p>
      <w:pPr>
        <w:pStyle w:val="Normal"/>
        <w:numPr>
          <w:ilvl w:val="0"/>
          <w:numId w:val="4"/>
        </w:numPr>
        <w:rPr/>
      </w:pPr>
      <w:r>
        <w:rPr/>
        <w:t>The relevant geographic market was Germany and not Europe as the merging parties had argued.</w:t>
      </w:r>
    </w:p>
    <w:p>
      <w:pPr>
        <w:pStyle w:val="Normal"/>
        <w:numPr>
          <w:ilvl w:val="0"/>
          <w:numId w:val="4"/>
        </w:numPr>
        <w:rPr/>
      </w:pPr>
      <w:r>
        <w:rPr/>
        <w:t>Given this, the mergers would lead to the creation of duopoly (e.g. Veba/Viag and RWE/VEW)  in the German power market that would control nearly 80% of the generation  and supply markets in German.</w:t>
      </w:r>
    </w:p>
    <w:p>
      <w:pPr>
        <w:pStyle w:val="Normal"/>
        <w:numPr>
          <w:ilvl w:val="0"/>
          <w:numId w:val="4"/>
        </w:numPr>
        <w:rPr/>
      </w:pPr>
      <w:r>
        <w:rPr/>
        <w:t>That  the duopoly would also control  the high voltage transmission network and would have, at its disposal, a range of technical tools to greatly hinder or, de facto, block TPA, despite the provisions of the Network Agreement (so-called Verbaendevereinbarung)</w:t>
      </w:r>
    </w:p>
    <w:p>
      <w:pPr>
        <w:pStyle w:val="Normal"/>
        <w:numPr>
          <w:ilvl w:val="0"/>
          <w:numId w:val="4"/>
        </w:numPr>
        <w:rPr/>
      </w:pPr>
      <w:r>
        <w:rPr/>
        <w:t>The duopoly would also have significant control over the downstream markets (regional electricity companies and municipal utilities)  given their extensive vertical shareholdings in nearly 100 firms.</w:t>
      </w:r>
    </w:p>
    <w:p>
      <w:pPr>
        <w:pStyle w:val="Normal"/>
        <w:numPr>
          <w:ilvl w:val="0"/>
          <w:numId w:val="4"/>
        </w:numPr>
        <w:rPr/>
      </w:pPr>
      <w:r>
        <w:rPr/>
        <w:t>The duopoly would have significant control over international trade as some 75% of nominal import/export capacity via the interconnectors would come under their ownership.</w:t>
      </w:r>
    </w:p>
    <w:p>
      <w:pPr>
        <w:pStyle w:val="Normal"/>
        <w:numPr>
          <w:ilvl w:val="0"/>
          <w:numId w:val="4"/>
        </w:numPr>
        <w:rPr/>
      </w:pPr>
      <w:r>
        <w:rPr/>
        <w:t>That a range of cross-shareholdings (in specific power plants and in VEAG – the east German integrated utility) would accord the duopoly substantial additional market share (as measured by the HHI)</w:t>
      </w:r>
    </w:p>
    <w:p>
      <w:pPr>
        <w:pStyle w:val="Normal"/>
        <w:rPr/>
      </w:pPr>
      <w:r>
        <w:rPr/>
      </w:r>
    </w:p>
    <w:p>
      <w:pPr>
        <w:pStyle w:val="Normal"/>
        <w:rPr/>
      </w:pPr>
      <w:r>
        <w:rPr/>
        <w:t>Both competition authorities informed the merging companies that the mergers could not be approved without wide-ranging remedies to address the competitive concerns outlined above.</w:t>
      </w:r>
    </w:p>
    <w:p>
      <w:pPr>
        <w:pStyle w:val="Normal"/>
        <w:rPr/>
      </w:pPr>
      <w:r>
        <w:rPr/>
      </w:r>
    </w:p>
    <w:p>
      <w:pPr>
        <w:pStyle w:val="Heading2"/>
        <w:ind w:hanging="0" w:start="0"/>
        <w:rPr/>
      </w:pPr>
      <w:r>
        <w:rPr/>
        <w:t>Remedies</w:t>
      </w:r>
    </w:p>
    <w:p>
      <w:pPr>
        <w:pStyle w:val="Normal"/>
        <w:rPr/>
      </w:pPr>
      <w:r>
        <w:rPr/>
        <w:t>On May 16</w:t>
      </w:r>
      <w:r>
        <w:rPr>
          <w:vertAlign w:val="superscript"/>
        </w:rPr>
        <w:t>th</w:t>
      </w:r>
      <w:r>
        <w:rPr/>
        <w:t>, we received for comment the final set of remedies that have been negotiated between the merging companies and the competition authorities. They are:</w:t>
      </w:r>
    </w:p>
    <w:p>
      <w:pPr>
        <w:pStyle w:val="Normal"/>
        <w:rPr/>
      </w:pPr>
      <w:r>
        <w:rPr/>
      </w:r>
    </w:p>
    <w:p>
      <w:pPr>
        <w:pStyle w:val="Normal"/>
        <w:numPr>
          <w:ilvl w:val="0"/>
          <w:numId w:val="2"/>
        </w:numPr>
        <w:rPr/>
      </w:pPr>
      <w:r>
        <w:rPr/>
        <w:t>The merging companies will divest themselves of their ownership shares in Veag and have contracted an investment bank (Schroeders)  to sell the company in a trade sale to a new, independent owner (Southern and Vattenfall) have announced their interest.</w:t>
      </w:r>
    </w:p>
    <w:p>
      <w:pPr>
        <w:pStyle w:val="Normal"/>
        <w:numPr>
          <w:ilvl w:val="0"/>
          <w:numId w:val="2"/>
        </w:numPr>
        <w:rPr/>
      </w:pPr>
      <w:r>
        <w:rPr/>
        <w:t>The merging companies will also divest most their cross-shareholdings in one another and with third companies (such as HEW, Laubag, Bewag) and these shareholdings will be sold to independent third parties.</w:t>
      </w:r>
    </w:p>
    <w:p>
      <w:pPr>
        <w:pStyle w:val="Normal"/>
        <w:numPr>
          <w:ilvl w:val="0"/>
          <w:numId w:val="2"/>
        </w:numPr>
        <w:rPr/>
      </w:pPr>
      <w:r>
        <w:rPr/>
        <w:t>The merging companies have agreed to drop the national transmission charge for moving power between the northern and southern trading zones in Germany (part of the network agreement) and will adhere to any agreement arrived at under the Florence forum on cross-border transmission charges in Europe. Until then, the current charges for transiting power in and out of Germany will remain.</w:t>
      </w:r>
    </w:p>
    <w:p>
      <w:pPr>
        <w:pStyle w:val="Normal"/>
        <w:numPr>
          <w:ilvl w:val="0"/>
          <w:numId w:val="2"/>
        </w:numPr>
        <w:rPr/>
      </w:pPr>
      <w:r>
        <w:rPr/>
        <w:t>The merging parties have agreed to adjust the way in which balancing power is calculated as well as to provide customers will a bill listing the principal components of the charges.</w:t>
      </w:r>
    </w:p>
    <w:p>
      <w:pPr>
        <w:pStyle w:val="Normal"/>
        <w:numPr>
          <w:ilvl w:val="0"/>
          <w:numId w:val="2"/>
        </w:numPr>
        <w:rPr/>
      </w:pPr>
      <w:r>
        <w:rPr/>
        <w:t>Veba/Viag has offered to release 400 MW of interconnector capacity held on the Dutch-German border to the market.</w:t>
      </w:r>
    </w:p>
    <w:p>
      <w:pPr>
        <w:pStyle w:val="Normal"/>
        <w:rPr/>
      </w:pPr>
      <w:r>
        <w:rPr/>
      </w:r>
    </w:p>
    <w:p>
      <w:pPr>
        <w:pStyle w:val="Normal"/>
        <w:rPr/>
      </w:pPr>
      <w:r>
        <w:rPr/>
      </w:r>
    </w:p>
    <w:p>
      <w:pPr>
        <w:pStyle w:val="Heading2"/>
        <w:ind w:hanging="0" w:start="0"/>
        <w:rPr/>
      </w:pPr>
      <w:r>
        <w:rPr/>
        <w:t>Assessment</w:t>
      </w:r>
    </w:p>
    <w:p>
      <w:pPr>
        <w:pStyle w:val="Normal"/>
        <w:rPr/>
      </w:pPr>
      <w:r>
        <w:rPr/>
        <w:t xml:space="preserve">While we recognise that the remedies offered and de facto approved, offer some benefit to Enron, we are very dissatisfied with the remedies. The entry of a new, independent player in east Germany, while important, will have no impact on the openness of the market for a range of reasons based on the contracts in place and a program for stranded cost recovery. </w:t>
      </w:r>
    </w:p>
    <w:p>
      <w:pPr>
        <w:pStyle w:val="Normal"/>
        <w:rPr/>
      </w:pPr>
      <w:r>
        <w:rPr/>
      </w:r>
    </w:p>
    <w:p>
      <w:pPr>
        <w:pStyle w:val="Normal"/>
        <w:rPr/>
      </w:pPr>
      <w:r>
        <w:rPr/>
        <w:t xml:space="preserve">The remaining remedies  in no way are sufficient to address the main competitive concerns raised by the two competition authorities. As described in the attached note, Enron believes that the medium term results of this merger will have serious negative impact on our ability to supply large municipal and regional customers and because of the dramatic reduction in counterparties will reduce our scope for trading. </w:t>
      </w:r>
    </w:p>
    <w:p>
      <w:pPr>
        <w:pStyle w:val="Normal"/>
        <w:rPr/>
      </w:pPr>
      <w:r>
        <w:rPr/>
      </w:r>
    </w:p>
    <w:p>
      <w:pPr>
        <w:pStyle w:val="Normal"/>
        <w:rPr/>
      </w:pPr>
      <w:r>
        <w:rPr/>
        <w:t>We will be making our protests known to the Competition Commission Monti in Brussels and to the head of the energy division of the FCO next week and also demand explanation for why the agreed-upon remedies are so deficient – particularly in light of the competition authorities’ own findings.</w:t>
      </w:r>
    </w:p>
    <w:p>
      <w:pPr>
        <w:pStyle w:val="Normal"/>
        <w:rPr/>
      </w:pPr>
      <w:r>
        <w:rPr/>
      </w:r>
    </w:p>
    <w:p>
      <w:pPr>
        <w:pStyle w:val="Normal"/>
        <w:rPr/>
      </w:pPr>
      <w:r>
        <w:rPr>
          <w:i/>
        </w:rPr>
        <w:t>Next Steps</w:t>
      </w:r>
      <w:r>
        <w:rPr/>
        <w:t>:</w:t>
      </w:r>
    </w:p>
    <w:p>
      <w:pPr>
        <w:pStyle w:val="Normal"/>
        <w:rPr/>
      </w:pPr>
      <w:r>
        <w:rPr/>
      </w:r>
    </w:p>
    <w:p>
      <w:pPr>
        <w:pStyle w:val="Normal"/>
        <w:rPr/>
      </w:pPr>
      <w:r>
        <w:rPr/>
        <w:t>Recognising that change is slow in Germany, we have the following options available to us:</w:t>
      </w:r>
    </w:p>
    <w:p>
      <w:pPr>
        <w:pStyle w:val="Normal"/>
        <w:rPr/>
      </w:pPr>
      <w:r>
        <w:rPr/>
      </w:r>
    </w:p>
    <w:p>
      <w:pPr>
        <w:pStyle w:val="Normal"/>
        <w:numPr>
          <w:ilvl w:val="0"/>
          <w:numId w:val="3"/>
        </w:numPr>
        <w:rPr/>
      </w:pPr>
      <w:r>
        <w:rPr/>
        <w:t>Explore the possibility of appealing the MTF and FCO’s decisions in the European Court of Justice and the German courts, respectively.</w:t>
      </w:r>
    </w:p>
    <w:p>
      <w:pPr>
        <w:pStyle w:val="Normal"/>
        <w:numPr>
          <w:ilvl w:val="0"/>
          <w:numId w:val="3"/>
        </w:numPr>
        <w:rPr/>
      </w:pPr>
      <w:r>
        <w:rPr/>
        <w:t>Florence Proceedings: Continue to seek a pro-market arrangement for trans-European power trading based on transparent and market-based allocation to interconnector capacity and if transmission fees are required these must be cost-reflective and charged in a non-distorting way. non-distorting transit fees in the context of the Florence proceedings.</w:t>
      </w:r>
    </w:p>
    <w:p>
      <w:pPr>
        <w:pStyle w:val="Normal"/>
        <w:numPr>
          <w:ilvl w:val="0"/>
          <w:numId w:val="3"/>
        </w:numPr>
        <w:rPr/>
      </w:pPr>
      <w:r>
        <w:rPr/>
        <w:t>FCO and European Competition Authorities: Continue to press these two authorities for improved TPA and  greater access to markets which have been foreclosed due to horizontal concentration and extensive vertical shareholdings.</w:t>
      </w:r>
    </w:p>
    <w:p>
      <w:pPr>
        <w:pStyle w:val="Normal"/>
        <w:rPr/>
      </w:pPr>
      <w:r>
        <w:rPr/>
      </w:r>
    </w:p>
    <w:p>
      <w:pPr>
        <w:pStyle w:val="Normal"/>
        <w:pBdr>
          <w:bottom w:val="single" w:sz="12" w:space="1" w:color="000000"/>
        </w:pBdr>
        <w:rPr/>
      </w:pPr>
      <w:r>
        <w:rPr/>
      </w:r>
    </w:p>
    <w:p>
      <w:pPr>
        <w:pStyle w:val="Normal"/>
        <w:rPr/>
      </w:pPr>
      <w:r>
        <w:rPr/>
      </w:r>
    </w:p>
    <w:p>
      <w:pPr>
        <w:pStyle w:val="Normal"/>
        <w:rPr/>
      </w:pPr>
      <w:r>
        <w:rPr/>
        <w:t>Attachment on Potential Impact on Enron’s Germany business (to be written by Kresse)</w:t>
      </w:r>
    </w:p>
    <w:p>
      <w:pPr>
        <w:pStyle w:val="Normal"/>
        <w:rPr/>
      </w:pPr>
      <w:r>
        <w:rPr/>
      </w:r>
    </w:p>
    <w:p>
      <w:pPr>
        <w:pStyle w:val="Normal"/>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i/>
    </w:rPr>
  </w:style>
  <w:style w:type="paragraph" w:styleId="Heading2">
    <w:name w:val="heading 2"/>
    <w:basedOn w:val="Normal"/>
    <w:next w:val="Normal"/>
    <w:qFormat/>
    <w:pPr>
      <w:keepNext w:val="true"/>
      <w:numPr>
        <w:ilvl w:val="1"/>
        <w:numId w:val="1"/>
      </w:numPr>
      <w:outlineLvl w:val="1"/>
    </w:pPr>
    <w:rPr>
      <w:i/>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2000-05-18T05:57:00Z</dcterms:created>
  <dc:creator>phenneme</dc:creator>
  <dc:description/>
  <dc:language>en-CA</dc:language>
  <cp:lastModifiedBy>phenneme</cp:lastModifiedBy>
  <dcterms:modified xsi:type="dcterms:W3CDTF">2000-05-18T10:07:00Z</dcterms:modified>
  <cp:revision>5</cp:revision>
  <dc:subject/>
  <dc:title>Results of German Power Sector Mergers</dc:title>
</cp:coreProperties>
</file>