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California Standard Offer Contract Restructuring Proposal</w:t>
      </w:r>
    </w:p>
    <w:p>
      <w:pPr>
        <w:pStyle w:val="Normal"/>
        <w:rPr/>
      </w:pPr>
      <w:r>
        <w:rPr/>
      </w:r>
    </w:p>
    <w:p>
      <w:pPr>
        <w:pStyle w:val="Normal"/>
        <w:rPr/>
      </w:pPr>
      <w:r>
        <w:rPr/>
      </w:r>
    </w:p>
    <w:p>
      <w:pPr>
        <w:pStyle w:val="Normal"/>
        <w:rPr/>
      </w:pPr>
      <w:r>
        <w:rPr>
          <w:b/>
          <w:bCs/>
        </w:rPr>
        <w:t>Buyer</w:t>
      </w:r>
      <w:r>
        <w:rPr/>
        <w:t>:</w:t>
        <w:tab/>
        <w:t>Southern California Edison (SCE)/Pacific Gas &amp; Electric Company (PG&amp;E)</w:t>
      </w:r>
    </w:p>
    <w:p>
      <w:pPr>
        <w:pStyle w:val="Normal"/>
        <w:rPr/>
      </w:pPr>
      <w:r>
        <w:rPr/>
      </w:r>
    </w:p>
    <w:p>
      <w:pPr>
        <w:pStyle w:val="Normal"/>
        <w:rPr/>
      </w:pPr>
      <w:r>
        <w:rPr>
          <w:b/>
          <w:bCs/>
        </w:rPr>
        <w:t>Seller:</w:t>
      </w:r>
      <w:r>
        <w:rPr/>
        <w:tab/>
        <w:t>Generic Generation Company (Genco)</w:t>
      </w:r>
    </w:p>
    <w:p>
      <w:pPr>
        <w:pStyle w:val="Normal"/>
        <w:rPr/>
      </w:pPr>
      <w:r>
        <w:rPr/>
      </w:r>
    </w:p>
    <w:p>
      <w:pPr>
        <w:pStyle w:val="Normal"/>
        <w:rPr/>
      </w:pPr>
      <w:r>
        <w:rPr>
          <w:b/>
          <w:bCs/>
        </w:rPr>
        <w:t>Price:</w:t>
        <w:tab/>
      </w:r>
      <w:r>
        <w:rPr/>
        <w:t>Short Run Avoided Costs (SRAC)</w:t>
      </w:r>
    </w:p>
    <w:p>
      <w:pPr>
        <w:pStyle w:val="Normal"/>
        <w:rPr>
          <w:b/>
          <w:bCs/>
        </w:rPr>
      </w:pPr>
      <w:r>
        <w:rPr>
          <w:b/>
          <w:bCs/>
        </w:rPr>
      </w:r>
    </w:p>
    <w:p>
      <w:pPr>
        <w:pStyle w:val="Normal"/>
        <w:rPr/>
      </w:pPr>
      <w:r>
        <w:rPr>
          <w:b/>
          <w:bCs/>
        </w:rPr>
        <w:t>Scheduling Coordinator:</w:t>
      </w:r>
      <w:r>
        <w:rPr/>
        <w:tab/>
        <w:t>Enron Power Marketing, Inc. (EPMI)</w:t>
      </w:r>
    </w:p>
    <w:p>
      <w:pPr>
        <w:pStyle w:val="Normal"/>
        <w:rPr/>
      </w:pPr>
      <w:r>
        <w:rPr/>
      </w:r>
    </w:p>
    <w:p>
      <w:pPr>
        <w:pStyle w:val="Normal"/>
        <w:rPr/>
      </w:pPr>
      <w:r>
        <w:rPr>
          <w:b/>
          <w:bCs/>
        </w:rPr>
        <w:t>Value Proposition:</w:t>
        <w:tab/>
      </w:r>
      <w:r>
        <w:rPr/>
        <w:t xml:space="preserve">Current contractual relationships between generators and the utilities may result in situations where generators are running at times when the market price for energy is below their operating costs and not running at other times, while still meeting their contractual obligations, when their generation is needed.  These market inefficiencies can be reduced through restructuring of Standard Offer Contracts, resulting in reduced energy costs to the utilities without sacrificing revenues for generators.  The contract restructuring proposes to separate the generator’s obligation to deliver energy to the utility from the specific generating unit(s). The contract restructuring would maintain the contractual quantity obligation to the utilities and through formalized scheduling procedures provide a market based mechanism which credits against the utility’s Short Run Avoided Cost  (SRAC).  </w:t>
      </w:r>
    </w:p>
    <w:p>
      <w:pPr>
        <w:pStyle w:val="Normal"/>
        <w:rPr/>
      </w:pPr>
      <w:r>
        <w:rPr/>
      </w:r>
    </w:p>
    <w:p>
      <w:pPr>
        <w:pStyle w:val="Normal"/>
        <w:rPr/>
      </w:pPr>
      <w:r>
        <w:rPr/>
        <w:t>Generators could realize new revenue streams from generation:</w:t>
      </w:r>
    </w:p>
    <w:p>
      <w:pPr>
        <w:pStyle w:val="Normal"/>
        <w:rPr/>
      </w:pPr>
      <w:r>
        <w:rPr/>
      </w:r>
    </w:p>
    <w:p>
      <w:pPr>
        <w:pStyle w:val="Normal"/>
        <w:numPr>
          <w:ilvl w:val="0"/>
          <w:numId w:val="1"/>
        </w:numPr>
        <w:tabs>
          <w:tab w:val="left" w:pos="720" w:leader="none"/>
        </w:tabs>
        <w:ind w:hanging="720" w:start="1080" w:end="0"/>
        <w:rPr/>
      </w:pPr>
      <w:r>
        <w:rPr/>
        <w:t>Meeting utility volume obligations with market based energy purchases</w:t>
      </w:r>
    </w:p>
    <w:p>
      <w:pPr>
        <w:pStyle w:val="Normal"/>
        <w:numPr>
          <w:ilvl w:val="0"/>
          <w:numId w:val="1"/>
        </w:numPr>
        <w:tabs>
          <w:tab w:val="left" w:pos="720" w:leader="none"/>
        </w:tabs>
        <w:ind w:hanging="720" w:start="1080" w:end="0"/>
        <w:rPr/>
      </w:pPr>
      <w:r>
        <w:rPr/>
        <w:t>Selling energy not needed by the utility on the open market</w:t>
      </w:r>
    </w:p>
    <w:p>
      <w:pPr>
        <w:pStyle w:val="Normal"/>
        <w:numPr>
          <w:ilvl w:val="0"/>
          <w:numId w:val="1"/>
        </w:numPr>
        <w:tabs>
          <w:tab w:val="left" w:pos="720" w:leader="none"/>
        </w:tabs>
        <w:ind w:hanging="720" w:start="1080" w:end="0"/>
        <w:rPr/>
      </w:pPr>
      <w:r>
        <w:rPr/>
        <w:t>Selling Ancillary Services</w:t>
      </w:r>
    </w:p>
    <w:p>
      <w:pPr>
        <w:pStyle w:val="Normal"/>
        <w:rPr/>
      </w:pPr>
      <w:r>
        <w:rPr/>
      </w:r>
    </w:p>
    <w:p>
      <w:pPr>
        <w:pStyle w:val="Normal"/>
        <w:rPr/>
      </w:pPr>
      <w:r>
        <w:rPr/>
        <w:t>Utilities can simultaneously help their situation:</w:t>
      </w:r>
    </w:p>
    <w:p>
      <w:pPr>
        <w:pStyle w:val="Normal"/>
        <w:ind w:hanging="360" w:start="720" w:end="0"/>
        <w:rPr/>
      </w:pPr>
      <w:r>
        <w:rPr/>
      </w:r>
    </w:p>
    <w:p>
      <w:pPr>
        <w:pStyle w:val="BodyTextIndent"/>
        <w:numPr>
          <w:ilvl w:val="0"/>
          <w:numId w:val="2"/>
        </w:numPr>
        <w:tabs>
          <w:tab w:val="left" w:pos="720" w:leader="none"/>
        </w:tabs>
        <w:ind w:hanging="360" w:start="720" w:end="0"/>
        <w:rPr/>
      </w:pPr>
      <w:r>
        <w:rPr/>
        <w:t>Provide incentive to lower cost of energy below SRAC prices</w:t>
      </w:r>
    </w:p>
    <w:p>
      <w:pPr>
        <w:pStyle w:val="BodyTextIndent"/>
        <w:numPr>
          <w:ilvl w:val="0"/>
          <w:numId w:val="2"/>
        </w:numPr>
        <w:tabs>
          <w:tab w:val="left" w:pos="720" w:leader="none"/>
        </w:tabs>
        <w:ind w:hanging="360" w:start="720" w:end="0"/>
        <w:rPr/>
      </w:pPr>
      <w:r>
        <w:rPr/>
        <w:t>Reduce SRAC to a level that works in retail rates.  Use the Malin index for SoCal generators or set a fixed price.</w:t>
      </w:r>
    </w:p>
    <w:p>
      <w:pPr>
        <w:pStyle w:val="BodyTextIndent"/>
        <w:numPr>
          <w:ilvl w:val="0"/>
          <w:numId w:val="2"/>
        </w:numPr>
        <w:tabs>
          <w:tab w:val="left" w:pos="720" w:leader="none"/>
        </w:tabs>
        <w:ind w:hanging="360" w:start="720" w:end="0"/>
        <w:rPr/>
      </w:pPr>
      <w:r>
        <w:rPr/>
        <w:t>Improve efficiency of supply portfolio management by changing utilities’ obligation to buy 100% of Standard Offer generation</w:t>
      </w:r>
    </w:p>
    <w:p>
      <w:pPr>
        <w:pStyle w:val="BodyTextIndent"/>
        <w:rPr/>
      </w:pPr>
      <w:r>
        <w:rPr/>
      </w:r>
    </w:p>
    <w:p>
      <w:pPr>
        <w:pStyle w:val="BodyTextIndent"/>
        <w:ind w:hanging="1080" w:end="0"/>
        <w:rPr/>
      </w:pPr>
      <w:r>
        <w:rPr/>
        <w:t>Case Study:  Wheelabrtator Norwalk (SoCal Edison)</w:t>
      </w:r>
    </w:p>
    <w:p>
      <w:pPr>
        <w:pStyle w:val="BodyTextIndent"/>
        <w:ind w:hanging="1080" w:end="0"/>
        <w:rPr/>
      </w:pPr>
      <w:r>
        <w:rPr/>
      </w:r>
    </w:p>
    <w:p>
      <w:pPr>
        <w:pStyle w:val="BodyTextIndent"/>
        <w:ind w:hanging="1080" w:end="0"/>
        <w:rPr/>
      </w:pPr>
      <w:r>
        <w:rPr/>
        <w:t>Case Study:  Wheelabrator Shasta (PG&amp;E)</w:t>
      </w:r>
    </w:p>
    <w:p>
      <w:pPr>
        <w:pStyle w:val="BodyTextIndent"/>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1080" w:hanging="360"/>
      </w:pPr>
      <w:r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2001-04-26T14:53:00Z</dcterms:created>
  <dc:creator>cfoster</dc:creator>
  <dc:description/>
  <dc:language>en-CA</dc:language>
  <cp:lastModifiedBy>metring</cp:lastModifiedBy>
  <cp:lastPrinted>2001-04-26T10:22:00Z</cp:lastPrinted>
  <dcterms:modified xsi:type="dcterms:W3CDTF">2001-04-26T14:54:00Z</dcterms:modified>
  <cp:revision>3</cp:revision>
  <dc:subject/>
  <dc:title>California Standard Offer Contract Restructuring Proposal</dc:title>
</cp:coreProperties>
</file>