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Observations</w:t>
      </w:r>
    </w:p>
    <w:p>
      <w:pPr>
        <w:pStyle w:val="Normal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Mariner consumes more capital than it generates and requires relatively high commodity prices to generate growth.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To reduce the capital consumption requires a reduction in the exploration effort which will offset the future growth of the Company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Mariner is organized to pursue 8-10 deepwater projects annually which requires a significant overhead commitment, currently $20 million annually before reimbursements.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36"/>
        </w:rPr>
        <w:t>Mariner cannot, over the long term, sustain this level of activity in its current financial state without selling significant assets or an additional capital injection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36"/>
        </w:rPr>
        <w:t>Compensation program is not aligned with shareholders</w:t>
      </w:r>
      <w:r>
        <w:br w:type="page"/>
      </w:r>
    </w:p>
    <w:p>
      <w:pPr>
        <w:pStyle w:val="Normal"/>
        <w:jc w:val="center"/>
        <w:rPr>
          <w:rFonts w:ascii="Garamond" w:hAnsi="Garamond" w:cs="Garamond"/>
          <w:b/>
          <w:sz w:val="48"/>
        </w:rPr>
      </w:pPr>
      <w:r>
        <w:rPr>
          <w:rFonts w:cs="Garamond" w:ascii="Garamond" w:hAnsi="Garamond"/>
          <w:b/>
          <w:sz w:val="48"/>
        </w:rPr>
        <w:t>Recommendation</w:t>
      </w:r>
    </w:p>
    <w:p>
      <w:pPr>
        <w:pStyle w:val="Normal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</w:r>
    </w:p>
    <w:p>
      <w:pPr>
        <w:pStyle w:val="Normal"/>
        <w:numPr>
          <w:ilvl w:val="0"/>
          <w:numId w:val="10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Sell all of Mariner’s deepwater position (Falcon, King Kong, Yosemite, Crater Lake, Pluto, Black Widow, Other)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10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Price expectation -$250 million+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9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Run orderly data room process, inviting the following companies: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Alberta Energy Company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Newfield Exploration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Pioneer Oil &amp; Gas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Nexen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Santos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Unocal</w:t>
      </w:r>
    </w:p>
    <w:p>
      <w:pPr>
        <w:pStyle w:val="Normal"/>
        <w:ind w:start="360" w:end="0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10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Conditions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Cash transaction, no conditions for financing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Execute Purchase and Sale Agreement by December 27, 200, effective September 30, 2001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Fund by January 15, 2002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Assumption of Operational Obligations (drilling rig commitment, office lease, seismic data)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Assignment of Personnel and associated contractual obligations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Assignment of Gas Swap with cash consideration effective as of date of close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Partial assignment of Oil Swap with cash consideration effective as of date of close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1% ORRI (proportionately reduced) on undeveloped projects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Right to Participate for 12.5% working interest (proportionately reduced) on future projects for 2 years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10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Pay off the bonds and the Enron Term Loan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10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Restructure company – debt and equity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  <w:r>
        <w:br w:type="page"/>
      </w:r>
    </w:p>
    <w:p>
      <w:pPr>
        <w:pStyle w:val="Normal"/>
        <w:jc w:val="center"/>
        <w:rPr>
          <w:rFonts w:ascii="Garamond" w:hAnsi="Garamond" w:cs="Garamond"/>
          <w:b/>
          <w:sz w:val="48"/>
        </w:rPr>
      </w:pPr>
      <w:r>
        <w:rPr>
          <w:rFonts w:cs="Garamond" w:ascii="Garamond" w:hAnsi="Garamond"/>
          <w:b/>
          <w:sz w:val="48"/>
        </w:rPr>
        <w:t>Justification</w:t>
      </w:r>
    </w:p>
    <w:p>
      <w:pPr>
        <w:pStyle w:val="Normal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</w:r>
    </w:p>
    <w:p>
      <w:pPr>
        <w:pStyle w:val="Normal"/>
        <w:numPr>
          <w:ilvl w:val="0"/>
          <w:numId w:val="7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Returns capital to Enron and the minority shareholders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6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Mariner debt is repaid.  No more SEC filings.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7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Mechanism for restructuring company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Equity Participation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Overhead reduction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ORRI Program restructure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Defines value of company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6" w:leader="none"/>
        </w:tabs>
        <w:ind w:hanging="360" w:start="456" w:end="0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36"/>
        </w:rPr>
        <w:t>New business plan more suitable for Enron’s risk appetite if Enron wishes to participate long term</w:t>
      </w:r>
    </w:p>
    <w:p>
      <w:pPr>
        <w:pStyle w:val="Normal"/>
        <w:ind w:start="96" w:end="0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6" w:leader="none"/>
        </w:tabs>
        <w:ind w:hanging="360" w:start="45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Market is currently good to sell deepwater assets.  Several companies have expressed strong interest in Mariner’s deepwater assets.  Mariner has received better than expected values in its recent asset sales.</w:t>
      </w:r>
      <w:r>
        <w:br w:type="page"/>
      </w:r>
    </w:p>
    <w:p>
      <w:pPr>
        <w:pStyle w:val="Normal"/>
        <w:jc w:val="center"/>
        <w:rPr>
          <w:rFonts w:ascii="Garamond" w:hAnsi="Garamond" w:cs="Garamond"/>
          <w:b/>
          <w:sz w:val="48"/>
        </w:rPr>
      </w:pPr>
      <w:r>
        <w:rPr>
          <w:rFonts w:cs="Garamond" w:ascii="Garamond" w:hAnsi="Garamond"/>
          <w:b/>
          <w:sz w:val="48"/>
        </w:rPr>
        <w:t>New Mariner</w:t>
      </w:r>
    </w:p>
    <w:p>
      <w:pPr>
        <w:pStyle w:val="Normal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6" w:leader="none"/>
        </w:tabs>
        <w:ind w:hanging="360" w:start="45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 xml:space="preserve">Restructured company will have cash and approximately $60-$80 million of proved reserves with average operating cashflow of approximately $8-$12 million annually </w:t>
      </w:r>
    </w:p>
    <w:p>
      <w:pPr>
        <w:pStyle w:val="Normal"/>
        <w:ind w:start="96" w:end="0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6" w:leader="none"/>
        </w:tabs>
        <w:ind w:hanging="360" w:start="45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Overhead requirements (before reimbursements) are estimated at $4-$5 million annually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6" w:leader="none"/>
        </w:tabs>
        <w:ind w:hanging="360" w:start="45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Business Plan will include: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816" w:leader="none"/>
        </w:tabs>
        <w:ind w:hanging="360" w:start="81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Focus on prospect generation and operations on the GOM Shelf and Gulf Coast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816" w:leader="none"/>
        </w:tabs>
        <w:ind w:hanging="360" w:start="81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Focus on prospect generation and promotion in the GOM deepwater – limited operations capability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816" w:leader="none"/>
        </w:tabs>
        <w:ind w:hanging="360" w:start="816" w:end="0"/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Venture partners that will pay portion of overhead and promotes to participate in drilling program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Pursue exit and liquidity in 3 years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Arrange for additional equity to supplement, reduce, or take out Enron’s equity position in 6 months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New compensation program that aligns management with shareholders</w:t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ind w:start="360" w:end="0"/>
        <w:rPr>
          <w:rFonts w:ascii="Garamond" w:hAnsi="Garamond" w:eastAsia="Garamond" w:cs="Garamond"/>
          <w:sz w:val="40"/>
        </w:rPr>
      </w:pPr>
      <w:r>
        <w:rPr>
          <w:rFonts w:eastAsia="Garamond" w:cs="Garamond" w:ascii="Garamond" w:hAnsi="Garamond"/>
          <w:sz w:val="40"/>
        </w:rPr>
        <w:t xml:space="preserve"> </w:t>
      </w:r>
      <w:r>
        <w:br w:type="page"/>
      </w:r>
    </w:p>
    <w:p>
      <w:pPr>
        <w:pStyle w:val="Normal"/>
        <w:jc w:val="center"/>
        <w:rPr>
          <w:rFonts w:ascii="Garamond" w:hAnsi="Garamond" w:cs="Garamond"/>
          <w:b/>
          <w:sz w:val="48"/>
        </w:rPr>
      </w:pPr>
      <w:r>
        <w:rPr>
          <w:rFonts w:cs="Garamond" w:ascii="Garamond" w:hAnsi="Garamond"/>
          <w:b/>
          <w:sz w:val="48"/>
        </w:rPr>
        <w:t>Next Steps</w:t>
      </w:r>
    </w:p>
    <w:p>
      <w:pPr>
        <w:pStyle w:val="Normal"/>
        <w:rPr>
          <w:rFonts w:ascii="Garamond" w:hAnsi="Garamond" w:cs="Garamond"/>
          <w:b/>
          <w:sz w:val="40"/>
        </w:rPr>
      </w:pPr>
      <w:r>
        <w:rPr>
          <w:rFonts w:cs="Garamond" w:ascii="Garamond" w:hAnsi="Garamond"/>
          <w:b/>
          <w:sz w:val="40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Execute confidentiality agreements with participants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Organize data room process beginning with AEC on November 28</w:t>
      </w:r>
      <w:r>
        <w:rPr>
          <w:rFonts w:cs="Garamond" w:ascii="Garamond" w:hAnsi="Garamond"/>
          <w:sz w:val="36"/>
          <w:vertAlign w:val="superscript"/>
        </w:rPr>
        <w:t>th</w:t>
      </w:r>
      <w:r>
        <w:rPr>
          <w:rFonts w:cs="Garamond" w:ascii="Garamond" w:hAnsi="Garamond"/>
          <w:sz w:val="36"/>
        </w:rPr>
        <w:t>.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Prepare purchase and sale agreement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Determine severance obligations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Review accounting and tax issues</w:t>
      </w:r>
    </w:p>
    <w:p>
      <w:pPr>
        <w:pStyle w:val="Normal"/>
        <w:rPr>
          <w:rFonts w:ascii="Garamond" w:hAnsi="Garamond" w:cs="Garamond"/>
          <w:sz w:val="16"/>
        </w:rPr>
      </w:pPr>
      <w:r>
        <w:rPr>
          <w:rFonts w:cs="Garamond" w:ascii="Garamond" w:hAnsi="Garamond"/>
          <w:sz w:val="16"/>
        </w:rPr>
      </w:r>
    </w:p>
    <w:p>
      <w:pPr>
        <w:pStyle w:val="Normal"/>
        <w:numPr>
          <w:ilvl w:val="0"/>
          <w:numId w:val="8"/>
        </w:numPr>
        <w:rPr>
          <w:rFonts w:ascii="Garamond" w:hAnsi="Garamond" w:cs="Garamond"/>
          <w:sz w:val="36"/>
        </w:rPr>
      </w:pPr>
      <w:r>
        <w:rPr>
          <w:rFonts w:cs="Garamond" w:ascii="Garamond" w:hAnsi="Garamond"/>
          <w:sz w:val="36"/>
        </w:rPr>
        <w:t>Review debt agreements</w:t>
      </w:r>
    </w:p>
    <w:p>
      <w:pPr>
        <w:pStyle w:val="Normal"/>
        <w:rPr>
          <w:rFonts w:ascii="Garamond" w:hAnsi="Garamond" w:cs="Garamond"/>
          <w:sz w:val="48"/>
        </w:rPr>
      </w:pPr>
      <w:r>
        <w:rPr>
          <w:rFonts w:cs="Garamond" w:ascii="Garamond" w:hAnsi="Garamond"/>
          <w:sz w:val="48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p>
      <w:pPr>
        <w:pStyle w:val="Normal"/>
        <w:rPr>
          <w:rFonts w:ascii="Garamond" w:hAnsi="Garamond" w:cs="Garamond"/>
          <w:sz w:val="40"/>
        </w:rPr>
      </w:pPr>
      <w:r>
        <w:rPr>
          <w:rFonts w:cs="Garamond" w:ascii="Garamond" w:hAnsi="Garamond"/>
          <w:sz w:val="40"/>
        </w:rPr>
      </w:r>
    </w:p>
    <w:sectPr>
      <w:type w:val="nextPage"/>
      <w:pgSz w:orient="landscape" w:w="15840" w:h="12240"/>
      <w:pgMar w:left="1440" w:right="1440" w:gutter="0" w:header="0" w:top="18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ramond" w:hAnsi="Garamond" w:cs="Garamond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880" w:end="0"/>
      <w:outlineLvl w:val="2"/>
    </w:pPr>
    <w:rPr>
      <w:rFonts w:ascii="Garamond" w:hAnsi="Garamond" w:cs="Garamond"/>
      <w:b/>
      <w:sz w:val="9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2001-11-20T21:38:00Z</dcterms:created>
  <dc:creator>SJOSEY</dc:creator>
  <dc:description/>
  <dc:language>en-CA</dc:language>
  <cp:lastModifiedBy>SJOSEY</cp:lastModifiedBy>
  <cp:lastPrinted>2001-11-20T18:56:00Z</cp:lastPrinted>
  <dcterms:modified xsi:type="dcterms:W3CDTF">2001-11-20T22:38:00Z</dcterms:modified>
  <cp:revision>5</cp:revision>
  <dc:subject/>
  <dc:title>Observations</dc:title>
</cp:coreProperties>
</file>